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sz w:val="32"/>
          <w:szCs w:val="32"/>
        </w:rPr>
      </w:pPr>
      <w:r>
        <w:rPr>
          <w:rFonts w:hint="eastAsia" w:ascii="宋体" w:hAnsi="宋体"/>
          <w:b/>
          <w:bCs/>
          <w:kern w:val="0"/>
          <w:sz w:val="28"/>
          <w:szCs w:val="28"/>
        </w:rPr>
        <w:t xml:space="preserve"> </w:t>
      </w:r>
    </w:p>
    <w:p>
      <w:pPr>
        <w:spacing w:line="600" w:lineRule="exact"/>
        <w:jc w:val="center"/>
        <w:rPr>
          <w:sz w:val="32"/>
          <w:szCs w:val="32"/>
        </w:rPr>
      </w:pPr>
      <w:r>
        <w:rPr>
          <w:sz w:val="21"/>
        </w:rPr>
        <w:pict>
          <v:shape id="文本框 4" o:spid="_x0000_s1029" o:spt="202" type="#_x0000_t202" style="position:absolute;left:0pt;margin-left:10.45pt;margin-top:15.45pt;height:69.15pt;width:398.1pt;z-index:251660288;mso-width-relative:page;mso-height-relative:page;" filled="f" stroked="f" coordsize="21600,21600" o:gfxdata="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dDpEtoAAAAJAQAADwAAAAAAAAABACAAAAAi&#10;AAAAZHJzL2Rvd25yZXYueG1sUEsBAhQAFAAAAAgAh07iQBv+XWxBAgAAdAQAAA4AAAAAAAAAAQAg&#10;AAAAKQEAAGRycy9lMm9Eb2MueG1sUEsFBgAAAAAGAAYAWQEAANwFAAAAAA==&#10;">
            <v:path/>
            <v:fill on="f" focussize="0,0"/>
            <v:stroke on="f" weight="0.5pt"/>
            <v:imagedata o:title=""/>
            <o:lock v:ext="edit" aspectratio="f"/>
            <v:textbox>
              <w:txbxContent>
                <w:p>
                  <w:pPr>
                    <w:rPr>
                      <w:rFonts w:hint="eastAsia" w:ascii="方正小标宋_GBK" w:hAnsi="方正小标宋_GBK" w:eastAsia="方正小标宋_GBK" w:cs="方正小标宋_GBK"/>
                      <w:b/>
                      <w:bCs/>
                      <w:color w:val="000000" w:themeColor="text1"/>
                      <w:spacing w:val="113"/>
                      <w:sz w:val="56"/>
                      <w:szCs w:val="56"/>
                      <w:lang w:val="en-US" w:eastAsia="zh-CN"/>
                    </w:rPr>
                  </w:pPr>
                  <w:r>
                    <w:rPr>
                      <w:rFonts w:hint="eastAsia" w:ascii="方正小标宋_GBK" w:hAnsi="方正小标宋_GBK" w:eastAsia="方正小标宋_GBK" w:cs="方正小标宋_GBK"/>
                      <w:b/>
                      <w:bCs/>
                      <w:color w:val="FF0000"/>
                      <w:spacing w:val="119"/>
                      <w:sz w:val="56"/>
                      <w:szCs w:val="56"/>
                      <w:lang w:val="en-US" w:eastAsia="zh-CN"/>
                    </w:rPr>
                    <w:t>重庆市职业教育学会</w:t>
                  </w:r>
                </w:p>
              </w:txbxContent>
            </v:textbox>
          </v:shape>
        </w:pict>
      </w:r>
    </w:p>
    <w:p>
      <w:pPr>
        <w:spacing w:line="600" w:lineRule="exact"/>
        <w:jc w:val="center"/>
        <w:rPr>
          <w:sz w:val="32"/>
          <w:szCs w:val="32"/>
        </w:rPr>
      </w:pPr>
      <w:r>
        <w:rPr>
          <w:sz w:val="21"/>
        </w:rPr>
        <w:pict>
          <v:shape id="文本框 5" o:spid="_x0000_s1030" o:spt="202" type="#_x0000_t202" style="position:absolute;left:0pt;margin-left:379.45pt;margin-top:3.4pt;height:69.6pt;width:91.6pt;z-index:251662336;mso-width-relative:page;mso-height-relative:page;" filled="f" stroked="f" coordsize="21600,21600" o:gfxdata="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RXEGgtoAAAAJAQAADwAAAAAAAAABACAAAAAi&#10;AAAAZHJzL2Rvd25yZXYueG1sUEsBAhQAFAAAAAgAh07iQLeR/5tBAgAAcwQAAA4AAAAAAAAAAQAg&#10;AAAAKQEAAGRycy9lMm9Eb2MueG1sUEsFBgAAAAAGAAYAWQEAANwFAAAAAA==&#10;">
            <v:path/>
            <v:fill on="f" focussize="0,0"/>
            <v:stroke on="f" weight="0.5pt"/>
            <v:imagedata o:title=""/>
            <o:lock v:ext="edit" aspectratio="f"/>
            <v:textbox>
              <w:txbxContent>
                <w:p>
                  <w:pPr>
                    <w:rPr>
                      <w:rFonts w:hint="eastAsia" w:eastAsia="宋体"/>
                      <w:sz w:val="72"/>
                      <w:szCs w:val="72"/>
                      <w:lang w:val="en-US" w:eastAsia="zh-CN"/>
                    </w:rPr>
                  </w:pPr>
                  <w:r>
                    <w:rPr>
                      <w:rFonts w:hint="eastAsia" w:ascii="方正小标宋_GBK" w:hAnsi="方正小标宋_GBK" w:eastAsia="方正小标宋_GBK" w:cs="方正小标宋_GBK"/>
                      <w:b/>
                      <w:bCs w:val="0"/>
                      <w:color w:val="FF0000"/>
                      <w:sz w:val="72"/>
                      <w:szCs w:val="72"/>
                      <w:lang w:val="en-US" w:eastAsia="zh-CN"/>
                    </w:rPr>
                    <w:t>文件</w:t>
                  </w:r>
                </w:p>
              </w:txbxContent>
            </v:textbox>
          </v:shape>
        </w:pict>
      </w:r>
    </w:p>
    <w:p>
      <w:pPr>
        <w:spacing w:line="600" w:lineRule="exact"/>
        <w:jc w:val="center"/>
        <w:rPr>
          <w:sz w:val="32"/>
          <w:szCs w:val="32"/>
        </w:rPr>
      </w:pPr>
      <w:r>
        <w:rPr>
          <w:sz w:val="21"/>
        </w:rPr>
        <w:pict>
          <v:shape id="文本框 2" o:spid="_x0000_s1031" o:spt="202" type="#_x0000_t202" style="position:absolute;left:0pt;margin-left:9.3pt;margin-top:20.95pt;height:43.35pt;width:385.25pt;z-index:251661312;mso-width-relative:page;mso-height-relative:page;" filled="f" stroked="f" coordsize="21600,21600" o:gfxdata="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bTI4dgAAAAJAQAADwAAAAAAAAABACAAAAAiAAAA&#10;ZHJzL2Rvd25yZXYueG1sUEsBAhQAFAAAAAgAh07iQOvboF5AAgAAdAQAAA4AAAAAAAAAAQAgAAAA&#10;JwEAAGRycy9lMm9Eb2MueG1sUEsFBgAAAAAGAAYAWQEAANkFAAAAAA==&#10;">
            <v:path/>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720" w:lineRule="exact"/>
                    <w:ind w:left="0" w:hanging="500" w:hangingChars="100"/>
                    <w:textAlignment w:val="auto"/>
                    <w:rPr>
                      <w:rFonts w:hint="eastAsia" w:ascii="方正小标宋_GBK" w:hAnsi="方正小标宋_GBK" w:eastAsia="方正仿宋_GBK" w:cs="方正小标宋_GBK"/>
                      <w:b/>
                      <w:bCs w:val="0"/>
                      <w:color w:val="FF0000"/>
                      <w:spacing w:val="-11"/>
                      <w:sz w:val="52"/>
                      <w:szCs w:val="52"/>
                      <w:lang w:val="en-US" w:eastAsia="zh-CN"/>
                    </w:rPr>
                  </w:pPr>
                  <w:r>
                    <w:rPr>
                      <w:rFonts w:hint="eastAsia" w:ascii="方正小标宋_GBK" w:hAnsi="方正小标宋_GBK" w:eastAsia="方正小标宋_GBK" w:cs="方正小标宋_GBK"/>
                      <w:b/>
                      <w:bCs w:val="0"/>
                      <w:color w:val="FF0000"/>
                      <w:spacing w:val="-11"/>
                      <w:sz w:val="52"/>
                      <w:szCs w:val="52"/>
                    </w:rPr>
                    <w:t>重庆市</w:t>
                  </w:r>
                  <w:r>
                    <w:rPr>
                      <w:rFonts w:hint="eastAsia" w:ascii="方正小标宋_GBK" w:hAnsi="方正小标宋_GBK" w:eastAsia="方正小标宋_GBK" w:cs="方正小标宋_GBK"/>
                      <w:b/>
                      <w:bCs w:val="0"/>
                      <w:color w:val="FF0000"/>
                      <w:spacing w:val="-11"/>
                      <w:sz w:val="52"/>
                      <w:szCs w:val="52"/>
                      <w:lang w:val="en-US" w:eastAsia="zh-CN"/>
                    </w:rPr>
                    <w:t>汽车维护与修理行业协会</w:t>
                  </w:r>
                </w:p>
                <w:p>
                  <w:pPr>
                    <w:rPr>
                      <w:rFonts w:hint="eastAsia"/>
                      <w:lang w:val="en-US" w:eastAsia="zh-CN"/>
                    </w:rPr>
                  </w:pPr>
                </w:p>
              </w:txbxContent>
            </v:textbox>
          </v:shape>
        </w:pict>
      </w:r>
    </w:p>
    <w:p>
      <w:pPr>
        <w:spacing w:line="600" w:lineRule="exact"/>
        <w:jc w:val="center"/>
        <w:rPr>
          <w:sz w:val="32"/>
          <w:szCs w:val="32"/>
        </w:rPr>
      </w:pPr>
    </w:p>
    <w:p>
      <w:pPr>
        <w:spacing w:line="600" w:lineRule="exact"/>
        <w:jc w:val="center"/>
        <w:rPr>
          <w:sz w:val="32"/>
          <w:szCs w:val="32"/>
        </w:rPr>
      </w:pPr>
    </w:p>
    <w:p>
      <w:pPr>
        <w:spacing w:line="640" w:lineRule="exact"/>
        <w:rPr>
          <w:rFonts w:ascii="Times New Roman" w:hAnsi="Times New Roman" w:eastAsia="方正仿宋_GBK"/>
          <w:sz w:val="32"/>
          <w:szCs w:val="32"/>
        </w:rPr>
      </w:pPr>
      <w:r>
        <w:rPr>
          <w:rFonts w:ascii="Times New Roman" w:hAnsi="Times New Roman"/>
        </w:rPr>
        <w:pict>
          <v:group id="_x0000_s1026" o:spid="_x0000_s1026" o:spt="203" style="position:absolute;left:0pt;margin-left:7.7pt;margin-top:-76.5pt;height:141.75pt;width:442.2pt;z-index:251663360;mso-width-relative:page;mso-height-relative:page;" coordorigin="1531,4083" coordsize="8844,2835">
            <o:lock v:ext="edit" aspectratio="f"/>
            <v:shape id="_x0000_s1027" o:spid="_x0000_s1027"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  " style="font-family:方正小标宋_GBK;font-size:36pt;font-weight:bold;v-rotate-letters:f;v-same-letter-heights:f;v-text-align:center;"/>
            </v:shape>
            <v:line id="_x0000_s1028" o:spid="_x0000_s1028" o:spt="20" style="position:absolute;left:1531;top:6918;height:0;width:8844;" filled="f" stroked="t" coordsize="21600,21600">
              <v:path arrowok="t"/>
              <v:fill on="f" focussize="0,0"/>
              <v:stroke weight="1.75pt" color="#FF0000"/>
              <v:imagedata o:title=""/>
              <o:lock v:ext="edit" aspectratio="f"/>
            </v:line>
          </v:group>
        </w:pict>
      </w:r>
    </w:p>
    <w:p>
      <w:pPr>
        <w:spacing w:line="640" w:lineRule="exact"/>
        <w:jc w:val="center"/>
        <w:rPr>
          <w:rFonts w:ascii="Times New Roman" w:hAnsi="Times New Roman" w:eastAsia="方正仿宋_GBK"/>
          <w:sz w:val="32"/>
          <w:szCs w:val="32"/>
        </w:rPr>
      </w:pPr>
      <w:r>
        <w:rPr>
          <w:rFonts w:hint="eastAsia" w:ascii="Times New Roman" w:hAnsi="Times New Roman" w:eastAsia="方正仿宋_GBK"/>
          <w:sz w:val="32"/>
          <w:szCs w:val="32"/>
        </w:rPr>
        <w:t>渝职教学会〔202</w:t>
      </w: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39</w:t>
      </w:r>
      <w:r>
        <w:rPr>
          <w:rFonts w:hint="eastAsia" w:ascii="Times New Roman" w:hAnsi="Times New Roman" w:eastAsia="方正仿宋_GBK"/>
          <w:sz w:val="32"/>
          <w:szCs w:val="32"/>
        </w:rPr>
        <w:t>号</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00" w:lineRule="exact"/>
        <w:jc w:val="both"/>
        <w:textAlignment w:val="baseline"/>
        <w:rPr>
          <w:rStyle w:val="10"/>
          <w:rFonts w:hint="eastAsia" w:ascii="方正小标宋_GBK" w:hAnsi="方正小标宋_GBK" w:eastAsia="方正小标宋_GBK" w:cs="方正小标宋_GBK"/>
          <w:b/>
          <w:bCs/>
          <w:i w:val="0"/>
          <w:caps w:val="0"/>
          <w:color w:val="333333"/>
          <w:spacing w:val="0"/>
          <w:w w:val="100"/>
          <w:kern w:val="0"/>
          <w:sz w:val="44"/>
          <w:szCs w:val="44"/>
          <w:lang w:val="en-US" w:eastAsia="zh-CN" w:bidi="ar-SA"/>
        </w:rPr>
      </w:pPr>
    </w:p>
    <w:p>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关于开展 2022 年职业院校</w:t>
      </w:r>
    </w:p>
    <w:p>
      <w:pPr>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汽车专业教师技能提升培训的通知</w:t>
      </w:r>
    </w:p>
    <w:p>
      <w:pPr>
        <w:keepNext w:val="0"/>
        <w:keepLines w:val="0"/>
        <w:pageBreakBefore w:val="0"/>
        <w:widowControl w:val="0"/>
        <w:kinsoku/>
        <w:wordWrap/>
        <w:overflowPunct/>
        <w:topLinePunct w:val="0"/>
        <w:autoSpaceDE w:val="0"/>
        <w:autoSpaceDN w:val="0"/>
        <w:bidi w:val="0"/>
        <w:adjustRightInd/>
        <w:snapToGrid/>
        <w:spacing w:line="600" w:lineRule="exact"/>
        <w:jc w:val="both"/>
        <w:textAlignment w:val="auto"/>
        <w:rPr>
          <w:b/>
          <w:bCs/>
          <w:sz w:val="32"/>
          <w:szCs w:val="32"/>
        </w:rPr>
      </w:pPr>
    </w:p>
    <w:p>
      <w:pPr>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各中、高职会员单位：</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了认真贯彻习近平总书记对职业教育的重要指示和全国职业教育大会精神，进一步落实《中共中央国务院关于全面深化新时代教师队伍建设改革的意见》和《国家职业教育改革实施方案》等文件精神，推进职业院校提质培优，加强“双师型”教师队伍建设，推进教学模式和教育评价改革，更好适应新时代职业教育高质量发展需要，特依托行业和产教融合型企业， 相关职业院校联合开展职业院校汽车专业教师技能提升培训。现将有关事项通知如下：</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一、培训组织机构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指导单位：重庆市职业教育学会</w:t>
      </w:r>
    </w:p>
    <w:p>
      <w:pPr>
        <w:keepNext w:val="0"/>
        <w:keepLines w:val="0"/>
        <w:pageBreakBefore w:val="0"/>
        <w:widowControl w:val="0"/>
        <w:kinsoku/>
        <w:wordWrap/>
        <w:overflowPunct/>
        <w:topLinePunct w:val="0"/>
        <w:autoSpaceDE w:val="0"/>
        <w:autoSpaceDN w:val="0"/>
        <w:bidi w:val="0"/>
        <w:adjustRightInd/>
        <w:snapToGrid/>
        <w:spacing w:line="600" w:lineRule="exact"/>
        <w:ind w:firstLine="2240" w:firstLineChars="7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重庆市教育评估院职成教所</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主办单位：重庆市汽车维护与修理行业协会</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rPr>
        <w:t>承办单位：重庆合信</w:t>
      </w:r>
      <w:r>
        <w:rPr>
          <w:rFonts w:hint="eastAsia" w:ascii="方正仿宋_GBK" w:hAnsi="方正仿宋_GBK" w:eastAsia="方正仿宋_GBK" w:cs="方正仿宋_GBK"/>
          <w:sz w:val="32"/>
          <w:szCs w:val="32"/>
          <w:lang w:val="en-US"/>
        </w:rPr>
        <w:t>原力实业（集团）有限公司</w:t>
      </w:r>
    </w:p>
    <w:p>
      <w:pPr>
        <w:keepNext w:val="0"/>
        <w:keepLines w:val="0"/>
        <w:pageBreakBefore w:val="0"/>
        <w:widowControl w:val="0"/>
        <w:kinsoku/>
        <w:wordWrap/>
        <w:overflowPunct/>
        <w:topLinePunct w:val="0"/>
        <w:autoSpaceDE w:val="0"/>
        <w:autoSpaceDN w:val="0"/>
        <w:bidi w:val="0"/>
        <w:adjustRightInd/>
        <w:snapToGrid/>
        <w:spacing w:line="600" w:lineRule="exact"/>
        <w:ind w:firstLine="2240" w:firstLineChars="7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重庆合信汽车科技有限公司</w:t>
      </w:r>
      <w:bookmarkStart w:id="0" w:name="二、培训目的"/>
      <w:bookmarkEnd w:id="0"/>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二、培训目的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培训将采取专家讲座、教学示范、案例讲解、双向交流、解惑答疑、现场观摩、实操实训等形式结合进行，主要以实操实训为主，使参训教师能够达到以下目的：</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了解汽车专业的发展动向和最新成果，提高教师教学技能，认知汽车检测、诊断与维修的先进技术，跟上汽车专业职业教育发展步伐。</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使参训教师在“双核心”专业技能（专业技术技能+专业教 学技能）方面得到有效提升。能独立探索启动建设新能源专业； 能独立开展本校的新能源课程工作等。</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深度解读</w:t>
      </w:r>
      <w:r>
        <w:rPr>
          <w:rFonts w:hint="eastAsia" w:ascii="方正仿宋_GBK" w:hAnsi="方正仿宋_GBK" w:eastAsia="方正仿宋_GBK" w:cs="方正仿宋_GBK"/>
          <w:sz w:val="32"/>
          <w:szCs w:val="32"/>
          <w:lang w:eastAsia="zh-CN"/>
        </w:rPr>
        <w:t>中职</w:t>
      </w:r>
      <w:r>
        <w:rPr>
          <w:rFonts w:hint="eastAsia" w:ascii="方正仿宋_GBK" w:hAnsi="方正仿宋_GBK" w:eastAsia="方正仿宋_GBK" w:cs="方正仿宋_GBK"/>
          <w:sz w:val="32"/>
          <w:szCs w:val="32"/>
        </w:rPr>
        <w:t>高三教师教学的核心内容，解剖技能重难点，实际操作的训练方法及训练过程心里辅导，</w:t>
      </w:r>
      <w:r>
        <w:rPr>
          <w:rFonts w:hint="eastAsia" w:ascii="方正仿宋_GBK" w:hAnsi="方正仿宋_GBK" w:eastAsia="方正仿宋_GBK" w:cs="方正仿宋_GBK"/>
          <w:sz w:val="32"/>
          <w:szCs w:val="32"/>
          <w:lang w:eastAsia="zh-CN"/>
        </w:rPr>
        <w:t>能独立完成高三学生教学工作。</w:t>
      </w:r>
      <w:bookmarkStart w:id="3" w:name="_GoBack"/>
      <w:bookmarkEnd w:id="3"/>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三、培训对象</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会员单位中、高职院校汽车专业教师</w:t>
      </w:r>
    </w:p>
    <w:p>
      <w:pPr>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培训项目</w:t>
      </w:r>
      <w:r>
        <w:rPr>
          <w:rFonts w:hint="eastAsia" w:ascii="方正仿宋_GBK" w:hAnsi="方正仿宋_GBK" w:eastAsia="方正仿宋_GBK" w:cs="方正仿宋_GBK"/>
          <w:sz w:val="32"/>
          <w:szCs w:val="32"/>
        </w:rPr>
        <w:t>（内容及课程安排见附件 1）</w:t>
      </w:r>
    </w:p>
    <w:tbl>
      <w:tblPr>
        <w:tblStyle w:val="8"/>
        <w:tblpPr w:leftFromText="180" w:rightFromText="180" w:vertAnchor="text" w:horzAnchor="page" w:tblpXSpec="center" w:tblpY="234"/>
        <w:tblOverlap w:val="never"/>
        <w:tblW w:w="92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7"/>
        <w:gridCol w:w="3468"/>
        <w:gridCol w:w="960"/>
        <w:gridCol w:w="855"/>
        <w:gridCol w:w="915"/>
        <w:gridCol w:w="22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jc w:val="center"/>
        </w:trPr>
        <w:tc>
          <w:tcPr>
            <w:tcW w:w="827"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序号</w:t>
            </w:r>
          </w:p>
        </w:tc>
        <w:tc>
          <w:tcPr>
            <w:tcW w:w="3468"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培训类型</w:t>
            </w:r>
          </w:p>
        </w:tc>
        <w:tc>
          <w:tcPr>
            <w:tcW w:w="960"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班制</w:t>
            </w:r>
          </w:p>
        </w:tc>
        <w:tc>
          <w:tcPr>
            <w:tcW w:w="855"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时长</w:t>
            </w:r>
          </w:p>
        </w:tc>
        <w:tc>
          <w:tcPr>
            <w:tcW w:w="915"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学时</w:t>
            </w:r>
          </w:p>
        </w:tc>
        <w:tc>
          <w:tcPr>
            <w:tcW w:w="2205"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jc w:val="center"/>
        </w:trPr>
        <w:tc>
          <w:tcPr>
            <w:tcW w:w="827"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p>
        </w:tc>
        <w:tc>
          <w:tcPr>
            <w:tcW w:w="3468"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新能源汽车检测与维修教师技能提升培训</w:t>
            </w:r>
          </w:p>
        </w:tc>
        <w:tc>
          <w:tcPr>
            <w:tcW w:w="960"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30 人</w:t>
            </w:r>
          </w:p>
        </w:tc>
        <w:tc>
          <w:tcPr>
            <w:tcW w:w="855"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 天</w:t>
            </w:r>
          </w:p>
        </w:tc>
        <w:tc>
          <w:tcPr>
            <w:tcW w:w="915"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56</w:t>
            </w:r>
          </w:p>
        </w:tc>
        <w:tc>
          <w:tcPr>
            <w:tcW w:w="2205"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培训内容见附件1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1" w:hRule="atLeast"/>
          <w:jc w:val="center"/>
        </w:trPr>
        <w:tc>
          <w:tcPr>
            <w:tcW w:w="827"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p>
        </w:tc>
        <w:tc>
          <w:tcPr>
            <w:tcW w:w="3468"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重庆市中高职教师专业技能提升培训</w:t>
            </w:r>
          </w:p>
        </w:tc>
        <w:tc>
          <w:tcPr>
            <w:tcW w:w="960"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30 人</w:t>
            </w:r>
          </w:p>
        </w:tc>
        <w:tc>
          <w:tcPr>
            <w:tcW w:w="855"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 天</w:t>
            </w:r>
          </w:p>
        </w:tc>
        <w:tc>
          <w:tcPr>
            <w:tcW w:w="915"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56</w:t>
            </w:r>
          </w:p>
        </w:tc>
        <w:tc>
          <w:tcPr>
            <w:tcW w:w="2205"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培训内容见附件1</w:t>
            </w:r>
          </w:p>
        </w:tc>
      </w:tr>
    </w:tbl>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五、培训时间</w:t>
      </w:r>
    </w:p>
    <w:tbl>
      <w:tblPr>
        <w:tblStyle w:val="8"/>
        <w:tblpPr w:leftFromText="180" w:rightFromText="180" w:vertAnchor="text" w:horzAnchor="page" w:tblpXSpec="center" w:tblpY="566"/>
        <w:tblOverlap w:val="never"/>
        <w:tblW w:w="92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0"/>
        <w:gridCol w:w="3105"/>
        <w:gridCol w:w="2877"/>
        <w:gridCol w:w="2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6" w:hRule="atLeast"/>
          <w:jc w:val="center"/>
        </w:trPr>
        <w:tc>
          <w:tcPr>
            <w:tcW w:w="710"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序号</w:t>
            </w:r>
          </w:p>
        </w:tc>
        <w:tc>
          <w:tcPr>
            <w:tcW w:w="3105"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培训类型</w:t>
            </w:r>
          </w:p>
        </w:tc>
        <w:tc>
          <w:tcPr>
            <w:tcW w:w="2877"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培训时间</w:t>
            </w:r>
          </w:p>
        </w:tc>
        <w:tc>
          <w:tcPr>
            <w:tcW w:w="2536" w:type="dxa"/>
            <w:shd w:val="clear" w:color="auto" w:fill="D6D6D6"/>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培训地点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2" w:hRule="atLeast"/>
          <w:jc w:val="center"/>
        </w:trPr>
        <w:tc>
          <w:tcPr>
            <w:tcW w:w="710"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3105"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新能源汽车检测与维修教师技能提升培训</w:t>
            </w:r>
          </w:p>
        </w:tc>
        <w:tc>
          <w:tcPr>
            <w:tcW w:w="2877"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2022 年 </w:t>
            </w:r>
            <w:r>
              <w:rPr>
                <w:rFonts w:hint="eastAsia" w:ascii="方正仿宋_GBK" w:hAnsi="方正仿宋_GBK" w:eastAsia="方正仿宋_GBK" w:cs="方正仿宋_GBK"/>
                <w:sz w:val="24"/>
                <w:szCs w:val="24"/>
                <w:lang w:val="en-US"/>
              </w:rPr>
              <w:t>7</w:t>
            </w:r>
            <w:r>
              <w:rPr>
                <w:rFonts w:hint="eastAsia" w:ascii="方正仿宋_GBK" w:hAnsi="方正仿宋_GBK" w:eastAsia="方正仿宋_GBK" w:cs="方正仿宋_GBK"/>
                <w:sz w:val="24"/>
                <w:szCs w:val="24"/>
              </w:rPr>
              <w:t xml:space="preserve"> 月 </w:t>
            </w:r>
            <w:r>
              <w:rPr>
                <w:rFonts w:hint="eastAsia" w:ascii="方正仿宋_GBK" w:hAnsi="方正仿宋_GBK" w:eastAsia="方正仿宋_GBK" w:cs="方正仿宋_GBK"/>
                <w:sz w:val="24"/>
                <w:szCs w:val="24"/>
                <w:lang w:val="en-US"/>
              </w:rPr>
              <w:t xml:space="preserve">25  </w:t>
            </w:r>
            <w:r>
              <w:rPr>
                <w:rFonts w:hint="eastAsia" w:ascii="方正仿宋_GBK" w:hAnsi="方正仿宋_GBK" w:eastAsia="方正仿宋_GBK" w:cs="方正仿宋_GBK"/>
                <w:sz w:val="24"/>
                <w:szCs w:val="24"/>
              </w:rPr>
              <w:t xml:space="preserve">日至 </w:t>
            </w:r>
            <w:r>
              <w:rPr>
                <w:rFonts w:hint="eastAsia" w:ascii="方正仿宋_GBK" w:hAnsi="方正仿宋_GBK" w:eastAsia="方正仿宋_GBK" w:cs="方正仿宋_GBK"/>
                <w:sz w:val="24"/>
                <w:szCs w:val="24"/>
                <w:lang w:val="en-US"/>
              </w:rPr>
              <w:t>7</w:t>
            </w:r>
            <w:r>
              <w:rPr>
                <w:rFonts w:hint="eastAsia" w:ascii="方正仿宋_GBK" w:hAnsi="方正仿宋_GBK" w:eastAsia="方正仿宋_GBK" w:cs="方正仿宋_GBK"/>
                <w:sz w:val="24"/>
                <w:szCs w:val="24"/>
              </w:rPr>
              <w:t xml:space="preserve">月 </w:t>
            </w:r>
            <w:r>
              <w:rPr>
                <w:rFonts w:hint="eastAsia" w:ascii="方正仿宋_GBK" w:hAnsi="方正仿宋_GBK" w:eastAsia="方正仿宋_GBK" w:cs="方正仿宋_GBK"/>
                <w:sz w:val="24"/>
                <w:szCs w:val="24"/>
                <w:lang w:val="en-US"/>
              </w:rPr>
              <w:t>31</w:t>
            </w:r>
            <w:r>
              <w:rPr>
                <w:rFonts w:hint="eastAsia" w:ascii="方正仿宋_GBK" w:hAnsi="方正仿宋_GBK" w:eastAsia="方正仿宋_GBK" w:cs="方正仿宋_GBK"/>
                <w:sz w:val="24"/>
                <w:szCs w:val="24"/>
              </w:rPr>
              <w:t xml:space="preserve"> 日</w:t>
            </w:r>
          </w:p>
        </w:tc>
        <w:tc>
          <w:tcPr>
            <w:tcW w:w="2536"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重庆工业职业技术学院车辆工程学院实训楼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7" w:hRule="atLeast"/>
          <w:jc w:val="center"/>
        </w:trPr>
        <w:tc>
          <w:tcPr>
            <w:tcW w:w="710"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3105"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重庆市中高职教师教学</w:t>
            </w: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升学技能提升培训</w:t>
            </w:r>
          </w:p>
        </w:tc>
        <w:tc>
          <w:tcPr>
            <w:tcW w:w="2877"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2022 年 </w:t>
            </w:r>
            <w:r>
              <w:rPr>
                <w:rFonts w:hint="eastAsia" w:ascii="方正仿宋_GBK" w:hAnsi="方正仿宋_GBK" w:eastAsia="方正仿宋_GBK" w:cs="方正仿宋_GBK"/>
                <w:sz w:val="24"/>
                <w:szCs w:val="24"/>
                <w:lang w:val="en-US"/>
              </w:rPr>
              <w:t>7</w:t>
            </w:r>
            <w:r>
              <w:rPr>
                <w:rFonts w:hint="eastAsia" w:ascii="方正仿宋_GBK" w:hAnsi="方正仿宋_GBK" w:eastAsia="方正仿宋_GBK" w:cs="方正仿宋_GBK"/>
                <w:sz w:val="24"/>
                <w:szCs w:val="24"/>
              </w:rPr>
              <w:t xml:space="preserve"> 月 </w:t>
            </w:r>
            <w:r>
              <w:rPr>
                <w:rFonts w:hint="eastAsia" w:ascii="方正仿宋_GBK" w:hAnsi="方正仿宋_GBK" w:eastAsia="方正仿宋_GBK" w:cs="方正仿宋_GBK"/>
                <w:sz w:val="24"/>
                <w:szCs w:val="24"/>
                <w:lang w:val="en-US"/>
              </w:rPr>
              <w:t xml:space="preserve">25 </w:t>
            </w:r>
            <w:r>
              <w:rPr>
                <w:rFonts w:hint="eastAsia" w:ascii="方正仿宋_GBK" w:hAnsi="方正仿宋_GBK" w:eastAsia="方正仿宋_GBK" w:cs="方正仿宋_GBK"/>
                <w:sz w:val="24"/>
                <w:szCs w:val="24"/>
              </w:rPr>
              <w:t xml:space="preserve">日至 </w:t>
            </w:r>
            <w:r>
              <w:rPr>
                <w:rFonts w:hint="eastAsia" w:ascii="方正仿宋_GBK" w:hAnsi="方正仿宋_GBK" w:eastAsia="方正仿宋_GBK" w:cs="方正仿宋_GBK"/>
                <w:sz w:val="24"/>
                <w:szCs w:val="24"/>
                <w:lang w:val="en-US"/>
              </w:rPr>
              <w:t>7</w:t>
            </w:r>
            <w:r>
              <w:rPr>
                <w:rFonts w:hint="eastAsia" w:ascii="方正仿宋_GBK" w:hAnsi="方正仿宋_GBK" w:eastAsia="方正仿宋_GBK" w:cs="方正仿宋_GBK"/>
                <w:sz w:val="24"/>
                <w:szCs w:val="24"/>
              </w:rPr>
              <w:t xml:space="preserve">月 </w:t>
            </w:r>
            <w:r>
              <w:rPr>
                <w:rFonts w:hint="eastAsia" w:ascii="方正仿宋_GBK" w:hAnsi="方正仿宋_GBK" w:eastAsia="方正仿宋_GBK" w:cs="方正仿宋_GBK"/>
                <w:sz w:val="24"/>
                <w:szCs w:val="24"/>
                <w:lang w:val="en-US"/>
              </w:rPr>
              <w:t xml:space="preserve">31 </w:t>
            </w:r>
            <w:r>
              <w:rPr>
                <w:rFonts w:hint="eastAsia" w:ascii="方正仿宋_GBK" w:hAnsi="方正仿宋_GBK" w:eastAsia="方正仿宋_GBK" w:cs="方正仿宋_GBK"/>
                <w:sz w:val="24"/>
                <w:szCs w:val="24"/>
              </w:rPr>
              <w:t>日</w:t>
            </w:r>
          </w:p>
        </w:tc>
        <w:tc>
          <w:tcPr>
            <w:tcW w:w="2536" w:type="dxa"/>
          </w:tcPr>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p>
          <w:p>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重庆工业职业技术学院车辆工程学院实训楼</w:t>
            </w:r>
          </w:p>
        </w:tc>
      </w:tr>
    </w:tbl>
    <w:p>
      <w:pPr>
        <w:ind w:firstLine="640" w:firstLineChars="200"/>
        <w:rPr>
          <w:rFonts w:hint="eastAsia" w:ascii="方正黑体_GBK" w:hAnsi="方正黑体_GBK" w:eastAsia="方正黑体_GBK" w:cs="方正黑体_GBK"/>
          <w:sz w:val="32"/>
          <w:szCs w:val="32"/>
        </w:rPr>
      </w:pPr>
      <w:bookmarkStart w:id="1" w:name="五、培训时间"/>
      <w:bookmarkEnd w:id="1"/>
      <w:r>
        <w:rPr>
          <w:rFonts w:hint="eastAsia" w:ascii="方正黑体_GBK" w:hAnsi="方正黑体_GBK" w:eastAsia="方正黑体_GBK" w:cs="方正黑体_GBK"/>
          <w:sz w:val="32"/>
          <w:szCs w:val="32"/>
        </w:rPr>
        <w:t>六、培训费用</w:t>
      </w:r>
    </w:p>
    <w:p>
      <w:pPr>
        <w:ind w:firstLine="640"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rPr>
        <w:t>由于相关培训重实操，强技能，场景式，项目化实施，需要高端仪器设备，零部件耗材，师带徒训练，专家现场授课等，培训费按照以支定收原则收取，坚持自愿参训原则组织培训，请报名参训人员报道时将费用汇至指定账户</w:t>
      </w:r>
      <w:r>
        <w:rPr>
          <w:rFonts w:hint="eastAsia" w:ascii="方正仿宋_GBK" w:hAnsi="方正仿宋_GBK" w:eastAsia="方正仿宋_GBK" w:cs="方正仿宋_GBK"/>
          <w:sz w:val="32"/>
          <w:szCs w:val="32"/>
          <w:lang w:val="en-US"/>
        </w:rPr>
        <w:t>或现场刷卡，汇款账号如下：</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公司名称：重庆合信原力实业（集团）有限公司</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统一社会信用代码：91500107MA5YTU2XXE </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开户银行：中国光大银行重庆分行大坪支行</w:t>
      </w:r>
    </w:p>
    <w:p>
      <w:pPr>
        <w:ind w:firstLine="64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32"/>
          <w:szCs w:val="32"/>
        </w:rPr>
        <w:t>基本账户：7853 0188 0002 3506 3</w:t>
      </w:r>
    </w:p>
    <w:p>
      <w:pPr>
        <w:keepNext w:val="0"/>
        <w:keepLines w:val="0"/>
        <w:pageBreakBefore w:val="0"/>
        <w:widowControl w:val="0"/>
        <w:kinsoku/>
        <w:wordWrap/>
        <w:overflowPunct/>
        <w:topLinePunct w:val="0"/>
        <w:autoSpaceDE w:val="0"/>
        <w:autoSpaceDN w:val="0"/>
        <w:bidi w:val="0"/>
        <w:adjustRightInd/>
        <w:snapToGrid/>
        <w:spacing w:line="600" w:lineRule="exact"/>
        <w:ind w:firstLine="64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32"/>
          <w:szCs w:val="32"/>
        </w:rPr>
        <w:t>参训人员需提供开票信息（学校名称、代码、开票名称），由承办单位统一开票。</w:t>
      </w:r>
    </w:p>
    <w:tbl>
      <w:tblPr>
        <w:tblStyle w:val="8"/>
        <w:tblpPr w:leftFromText="180" w:rightFromText="180" w:vertAnchor="text" w:horzAnchor="page" w:tblpXSpec="center" w:tblpY="557"/>
        <w:tblOverlap w:val="never"/>
        <w:tblW w:w="944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3"/>
        <w:gridCol w:w="4527"/>
        <w:gridCol w:w="40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833" w:type="dxa"/>
            <w:shd w:val="clear" w:color="auto" w:fill="D6D6D6"/>
          </w:tcPr>
          <w:p>
            <w:pPr>
              <w:pStyle w:val="12"/>
              <w:keepNext w:val="0"/>
              <w:keepLines w:val="0"/>
              <w:pageBreakBefore w:val="0"/>
              <w:widowControl w:val="0"/>
              <w:kinsoku/>
              <w:wordWrap/>
              <w:overflowPunct/>
              <w:topLinePunct w:val="0"/>
              <w:autoSpaceDE w:val="0"/>
              <w:autoSpaceDN w:val="0"/>
              <w:bidi w:val="0"/>
              <w:adjustRightInd/>
              <w:snapToGrid/>
              <w:spacing w:line="400" w:lineRule="exact"/>
              <w:ind w:left="116" w:right="106"/>
              <w:jc w:val="center"/>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序号</w:t>
            </w:r>
          </w:p>
        </w:tc>
        <w:tc>
          <w:tcPr>
            <w:tcW w:w="4527" w:type="dxa"/>
            <w:shd w:val="clear" w:color="auto" w:fill="D6D6D6"/>
          </w:tcPr>
          <w:p>
            <w:pPr>
              <w:pStyle w:val="12"/>
              <w:keepNext w:val="0"/>
              <w:keepLines w:val="0"/>
              <w:pageBreakBefore w:val="0"/>
              <w:widowControl w:val="0"/>
              <w:kinsoku/>
              <w:wordWrap/>
              <w:overflowPunct/>
              <w:topLinePunct w:val="0"/>
              <w:autoSpaceDE w:val="0"/>
              <w:autoSpaceDN w:val="0"/>
              <w:bidi w:val="0"/>
              <w:adjustRightInd/>
              <w:snapToGrid/>
              <w:spacing w:line="400" w:lineRule="exact"/>
              <w:ind w:left="1697" w:right="1686"/>
              <w:jc w:val="center"/>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培训类型</w:t>
            </w:r>
          </w:p>
        </w:tc>
        <w:tc>
          <w:tcPr>
            <w:tcW w:w="4081" w:type="dxa"/>
            <w:shd w:val="clear" w:color="auto" w:fill="D6D6D6"/>
          </w:tcPr>
          <w:p>
            <w:pPr>
              <w:pStyle w:val="12"/>
              <w:keepNext w:val="0"/>
              <w:keepLines w:val="0"/>
              <w:pageBreakBefore w:val="0"/>
              <w:widowControl w:val="0"/>
              <w:kinsoku/>
              <w:wordWrap/>
              <w:overflowPunct/>
              <w:topLinePunct w:val="0"/>
              <w:autoSpaceDE w:val="0"/>
              <w:autoSpaceDN w:val="0"/>
              <w:bidi w:val="0"/>
              <w:adjustRightInd/>
              <w:snapToGrid/>
              <w:spacing w:line="400" w:lineRule="exact"/>
              <w:ind w:left="1046"/>
              <w:textAlignment w:val="auto"/>
              <w:rPr>
                <w:rFonts w:hint="eastAsia" w:ascii="方正仿宋_GBK" w:hAnsi="方正仿宋_GBK" w:eastAsia="方正仿宋_GBK" w:cs="方正仿宋_GBK"/>
                <w:sz w:val="28"/>
              </w:rPr>
            </w:pPr>
            <w:r>
              <w:rPr>
                <w:rFonts w:hint="eastAsia" w:ascii="方正仿宋_GBK" w:hAnsi="方正仿宋_GBK" w:eastAsia="方正仿宋_GBK" w:cs="方正仿宋_GBK"/>
                <w:sz w:val="28"/>
              </w:rPr>
              <w:t>班制及培训费用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jc w:val="center"/>
        </w:trPr>
        <w:tc>
          <w:tcPr>
            <w:tcW w:w="833" w:type="dxa"/>
          </w:tcPr>
          <w:p>
            <w:pPr>
              <w:pStyle w:val="12"/>
              <w:keepNext w:val="0"/>
              <w:keepLines w:val="0"/>
              <w:pageBreakBefore w:val="0"/>
              <w:widowControl w:val="0"/>
              <w:kinsoku/>
              <w:wordWrap/>
              <w:overflowPunct/>
              <w:topLinePunct w:val="0"/>
              <w:autoSpaceDE w:val="0"/>
              <w:autoSpaceDN w:val="0"/>
              <w:bidi w:val="0"/>
              <w:adjustRightInd/>
              <w:snapToGrid/>
              <w:spacing w:line="400" w:lineRule="exact"/>
              <w:ind w:left="6"/>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4527" w:type="dxa"/>
          </w:tcPr>
          <w:p>
            <w:pPr>
              <w:pStyle w:val="12"/>
              <w:keepNext w:val="0"/>
              <w:keepLines w:val="0"/>
              <w:pageBreakBefore w:val="0"/>
              <w:widowControl w:val="0"/>
              <w:kinsoku/>
              <w:wordWrap/>
              <w:overflowPunct/>
              <w:topLinePunct w:val="0"/>
              <w:autoSpaceDE w:val="0"/>
              <w:autoSpaceDN w:val="0"/>
              <w:bidi w:val="0"/>
              <w:adjustRightInd/>
              <w:snapToGrid/>
              <w:spacing w:line="400" w:lineRule="exact"/>
              <w:ind w:left="106" w:right="95"/>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新能源汽车检测与维修教师技能提升培训</w:t>
            </w:r>
          </w:p>
        </w:tc>
        <w:tc>
          <w:tcPr>
            <w:tcW w:w="4081" w:type="dxa"/>
          </w:tcPr>
          <w:p>
            <w:pPr>
              <w:pStyle w:val="12"/>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班制：30 人</w:t>
            </w:r>
          </w:p>
          <w:p>
            <w:pPr>
              <w:pStyle w:val="12"/>
              <w:keepNext w:val="0"/>
              <w:keepLines w:val="0"/>
              <w:pageBreakBefore w:val="0"/>
              <w:widowControl w:val="0"/>
              <w:kinsoku/>
              <w:wordWrap/>
              <w:overflowPunct/>
              <w:topLinePunct w:val="0"/>
              <w:autoSpaceDE w:val="0"/>
              <w:autoSpaceDN w:val="0"/>
              <w:bidi w:val="0"/>
              <w:adjustRightInd/>
              <w:snapToGrid/>
              <w:spacing w:line="400" w:lineRule="exact"/>
              <w:ind w:right="96"/>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2"/>
                <w:sz w:val="24"/>
                <w:szCs w:val="24"/>
              </w:rPr>
              <w:t>培训费用：</w:t>
            </w:r>
            <w:r>
              <w:rPr>
                <w:rFonts w:hint="eastAsia" w:ascii="方正仿宋_GBK" w:hAnsi="方正仿宋_GBK" w:eastAsia="方正仿宋_GBK" w:cs="方正仿宋_GBK"/>
                <w:spacing w:val="-7"/>
                <w:sz w:val="24"/>
                <w:szCs w:val="24"/>
              </w:rPr>
              <w:t>3800</w:t>
            </w:r>
            <w:r>
              <w:rPr>
                <w:rFonts w:hint="eastAsia" w:ascii="方正仿宋_GBK" w:hAnsi="方正仿宋_GBK" w:eastAsia="方正仿宋_GBK" w:cs="方正仿宋_GBK"/>
                <w:spacing w:val="-31"/>
                <w:sz w:val="24"/>
                <w:szCs w:val="24"/>
              </w:rPr>
              <w:t xml:space="preserve"> 元</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pacing w:val="-9"/>
                <w:sz w:val="24"/>
                <w:szCs w:val="24"/>
              </w:rPr>
              <w:t>人，食宿统一安排，费用自理。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jc w:val="center"/>
        </w:trPr>
        <w:tc>
          <w:tcPr>
            <w:tcW w:w="833" w:type="dxa"/>
          </w:tcPr>
          <w:p>
            <w:pPr>
              <w:pStyle w:val="12"/>
              <w:keepNext w:val="0"/>
              <w:keepLines w:val="0"/>
              <w:pageBreakBefore w:val="0"/>
              <w:widowControl w:val="0"/>
              <w:kinsoku/>
              <w:wordWrap/>
              <w:overflowPunct/>
              <w:topLinePunct w:val="0"/>
              <w:autoSpaceDE w:val="0"/>
              <w:autoSpaceDN w:val="0"/>
              <w:bidi w:val="0"/>
              <w:adjustRightInd/>
              <w:snapToGrid/>
              <w:spacing w:line="400" w:lineRule="exact"/>
              <w:ind w:left="6"/>
              <w:jc w:val="center"/>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4527" w:type="dxa"/>
          </w:tcPr>
          <w:p>
            <w:pPr>
              <w:pStyle w:val="12"/>
              <w:keepNext w:val="0"/>
              <w:keepLines w:val="0"/>
              <w:pageBreakBefore w:val="0"/>
              <w:widowControl w:val="0"/>
              <w:kinsoku/>
              <w:wordWrap/>
              <w:overflowPunct/>
              <w:topLinePunct w:val="0"/>
              <w:autoSpaceDE w:val="0"/>
              <w:autoSpaceDN w:val="0"/>
              <w:bidi w:val="0"/>
              <w:adjustRightInd/>
              <w:snapToGrid/>
              <w:spacing w:line="400" w:lineRule="exact"/>
              <w:ind w:left="106" w:right="165"/>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重庆市中高职教师教学专业技能提升培训</w:t>
            </w:r>
          </w:p>
        </w:tc>
        <w:tc>
          <w:tcPr>
            <w:tcW w:w="4081" w:type="dxa"/>
          </w:tcPr>
          <w:p>
            <w:pPr>
              <w:pStyle w:val="12"/>
              <w:keepNext w:val="0"/>
              <w:keepLines w:val="0"/>
              <w:pageBreakBefore w:val="0"/>
              <w:widowControl w:val="0"/>
              <w:kinsoku/>
              <w:wordWrap/>
              <w:overflowPunct/>
              <w:topLinePunct w:val="0"/>
              <w:autoSpaceDE w:val="0"/>
              <w:autoSpaceDN w:val="0"/>
              <w:bidi w:val="0"/>
              <w:adjustRightInd/>
              <w:snapToGrid/>
              <w:spacing w:line="400" w:lineRule="exac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班制：30 人</w:t>
            </w:r>
          </w:p>
          <w:p>
            <w:pPr>
              <w:pStyle w:val="12"/>
              <w:keepNext w:val="0"/>
              <w:keepLines w:val="0"/>
              <w:pageBreakBefore w:val="0"/>
              <w:widowControl w:val="0"/>
              <w:kinsoku/>
              <w:wordWrap/>
              <w:overflowPunct/>
              <w:topLinePunct w:val="0"/>
              <w:autoSpaceDE w:val="0"/>
              <w:autoSpaceDN w:val="0"/>
              <w:bidi w:val="0"/>
              <w:adjustRightInd/>
              <w:snapToGrid/>
              <w:spacing w:line="400" w:lineRule="exact"/>
              <w:ind w:right="96"/>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2"/>
                <w:sz w:val="24"/>
                <w:szCs w:val="24"/>
              </w:rPr>
              <w:t>培训费用：</w:t>
            </w:r>
            <w:r>
              <w:rPr>
                <w:rFonts w:hint="eastAsia" w:ascii="方正仿宋_GBK" w:hAnsi="方正仿宋_GBK" w:eastAsia="方正仿宋_GBK" w:cs="方正仿宋_GBK"/>
                <w:spacing w:val="-7"/>
                <w:sz w:val="24"/>
                <w:szCs w:val="24"/>
              </w:rPr>
              <w:t>3800</w:t>
            </w:r>
            <w:r>
              <w:rPr>
                <w:rFonts w:hint="eastAsia" w:ascii="方正仿宋_GBK" w:hAnsi="方正仿宋_GBK" w:eastAsia="方正仿宋_GBK" w:cs="方正仿宋_GBK"/>
                <w:spacing w:val="-31"/>
                <w:sz w:val="24"/>
                <w:szCs w:val="24"/>
              </w:rPr>
              <w:t xml:space="preserve"> 元</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pacing w:val="-9"/>
                <w:sz w:val="24"/>
                <w:szCs w:val="24"/>
              </w:rPr>
              <w:t>人，食宿统一安排，费用自理。</w:t>
            </w:r>
          </w:p>
        </w:tc>
      </w:tr>
    </w:tbl>
    <w:p>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七、其它事项</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1.报名回执</w:t>
      </w:r>
    </w:p>
    <w:p>
      <w:pPr>
        <w:ind w:firstLine="640" w:firstLineChars="200"/>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Pr>
        <w:t xml:space="preserve">凡有培训需求的会员单位职业院校，接此通知后，请于 2022年 7 月 </w:t>
      </w:r>
      <w:r>
        <w:rPr>
          <w:rFonts w:hint="eastAsia" w:ascii="方正仿宋_GBK" w:hAnsi="方正仿宋_GBK" w:eastAsia="方正仿宋_GBK" w:cs="方正仿宋_GBK"/>
          <w:sz w:val="32"/>
          <w:szCs w:val="32"/>
          <w:lang w:val="en-US"/>
        </w:rPr>
        <w:t>15</w:t>
      </w:r>
      <w:r>
        <w:rPr>
          <w:rFonts w:hint="eastAsia" w:ascii="方正仿宋_GBK" w:hAnsi="方正仿宋_GBK" w:eastAsia="方正仿宋_GBK" w:cs="方正仿宋_GBK"/>
          <w:sz w:val="32"/>
          <w:szCs w:val="32"/>
        </w:rPr>
        <w:t xml:space="preserve"> 日 17:00 前将报名表发至电子邮箱：</w:t>
      </w:r>
      <w:r>
        <w:rPr>
          <w:rFonts w:hint="eastAsia" w:ascii="方正仿宋_GBK" w:hAnsi="方正仿宋_GBK" w:eastAsia="方正仿宋_GBK" w:cs="方正仿宋_GBK"/>
          <w:sz w:val="32"/>
          <w:szCs w:val="32"/>
          <w:lang w:val="en-US" w:eastAsia="zh-CN"/>
        </w:rPr>
        <w:t>814608512@qq.com</w:t>
      </w:r>
      <w:r>
        <w:rPr>
          <w:rFonts w:hint="eastAsia" w:ascii="方正仿宋_GBK" w:hAnsi="方正仿宋_GBK" w:eastAsia="方正仿宋_GBK" w:cs="方正仿宋_GBK"/>
          <w:sz w:val="32"/>
          <w:szCs w:val="32"/>
        </w:rPr>
        <w:t>（见附件 2）</w:t>
      </w:r>
      <w:r>
        <w:rPr>
          <w:rFonts w:hint="eastAsia" w:ascii="方正仿宋_GBK" w:hAnsi="方正仿宋_GBK" w:eastAsia="方正仿宋_GBK" w:cs="方正仿宋_GBK"/>
          <w:sz w:val="32"/>
          <w:szCs w:val="32"/>
          <w:lang w:eastAsia="zh-CN"/>
        </w:rPr>
        <w:t>。</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2.培训证书</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培训结束通过考核的参训人员，将由重庆市职业教育学会、重庆市汽车维护与修理行业协会、重庆合信汽车科技有限公司颁发相应的培训合格证书。</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3.联系人员</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重庆合信汽车科技有限公司：王老师，电话 1</w:t>
      </w:r>
      <w:r>
        <w:rPr>
          <w:rFonts w:hint="eastAsia" w:ascii="方正仿宋_GBK" w:hAnsi="方正仿宋_GBK" w:eastAsia="方正仿宋_GBK" w:cs="方正仿宋_GBK"/>
          <w:sz w:val="32"/>
          <w:szCs w:val="32"/>
          <w:lang w:val="en-US"/>
        </w:rPr>
        <w:t>3167826512</w:t>
      </w:r>
      <w:r>
        <w:rPr>
          <w:rFonts w:hint="eastAsia" w:ascii="方正仿宋_GBK" w:hAnsi="方正仿宋_GBK" w:eastAsia="方正仿宋_GBK" w:cs="方正仿宋_GBK"/>
          <w:sz w:val="32"/>
          <w:szCs w:val="32"/>
        </w:rPr>
        <w:t xml:space="preserve"> （微信同号）</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重庆市职业教育学会：袁丽娟、电话13883867988（微信同号）</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4.报到事宜</w:t>
      </w:r>
    </w:p>
    <w:p>
      <w:pPr>
        <w:ind w:firstLine="64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32"/>
          <w:szCs w:val="32"/>
        </w:rPr>
        <w:t>报名截止后，提前通知具体报到时间及流程。</w:t>
      </w: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附件：1. 2022年新能源汽车检测与维修教师技能提升培训内容</w:t>
      </w:r>
    </w:p>
    <w:p>
      <w:pPr>
        <w:ind w:firstLine="960" w:firstLineChars="3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2022年重庆市中高职教师教学升学技能提升培训报名表</w:t>
      </w:r>
    </w:p>
    <w:p>
      <w:pPr>
        <w:rPr>
          <w:rFonts w:hint="eastAsia" w:ascii="方正仿宋_GBK" w:hAnsi="方正仿宋_GBK" w:eastAsia="方正仿宋_GBK" w:cs="方正仿宋_GBK"/>
          <w:sz w:val="32"/>
          <w:szCs w:val="32"/>
        </w:rPr>
      </w:pPr>
    </w:p>
    <w:p>
      <w:pPr>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rPr>
        <w:t>重庆市职业教育学会      重庆市汽车维护与修理行业协会</w:t>
      </w:r>
      <w:r>
        <w:rPr>
          <w:rFonts w:hint="eastAsia" w:ascii="方正仿宋_GBK" w:hAnsi="方正仿宋_GBK" w:eastAsia="方正仿宋_GBK" w:cs="方正仿宋_GBK"/>
          <w:sz w:val="32"/>
          <w:szCs w:val="32"/>
          <w:lang w:val="en-US"/>
        </w:rPr>
        <w:t xml:space="preserve">   </w:t>
      </w:r>
    </w:p>
    <w:p>
      <w:pPr>
        <w:rPr>
          <w:rFonts w:hint="eastAsia" w:ascii="方正仿宋_GBK" w:hAnsi="方正仿宋_GBK" w:eastAsia="方正仿宋_GBK" w:cs="方正仿宋_GBK"/>
          <w:sz w:val="32"/>
          <w:szCs w:val="32"/>
        </w:rPr>
      </w:pPr>
    </w:p>
    <w:p>
      <w:pPr>
        <w:jc w:val="center"/>
        <w:rPr>
          <w:rFonts w:hint="eastAsia" w:ascii="方正仿宋_GBK" w:hAnsi="方正仿宋_GBK" w:eastAsia="方正仿宋_GBK" w:cs="方正仿宋_GBK"/>
          <w:sz w:val="32"/>
          <w:szCs w:val="32"/>
        </w:rPr>
      </w:pPr>
    </w:p>
    <w:p>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2022 年 7月</w:t>
      </w:r>
      <w:r>
        <w:rPr>
          <w:rFonts w:hint="eastAsia" w:ascii="方正仿宋_GBK" w:hAnsi="方正仿宋_GBK" w:eastAsia="方正仿宋_GBK" w:cs="方正仿宋_GBK"/>
          <w:sz w:val="32"/>
          <w:szCs w:val="32"/>
          <w:lang w:val="en-US"/>
        </w:rPr>
        <w:t xml:space="preserve"> 6 </w:t>
      </w:r>
      <w:r>
        <w:rPr>
          <w:rFonts w:hint="eastAsia" w:ascii="方正仿宋_GBK" w:hAnsi="方正仿宋_GBK" w:eastAsia="方正仿宋_GBK" w:cs="方正仿宋_GBK"/>
          <w:sz w:val="32"/>
          <w:szCs w:val="32"/>
        </w:rPr>
        <w:t>日</w:t>
      </w:r>
    </w:p>
    <w:p>
      <w:pPr>
        <w:jc w:val="both"/>
        <w:rPr>
          <w:rFonts w:hint="eastAsia" w:ascii="方正仿宋_GBK" w:hAnsi="方正仿宋_GBK" w:eastAsia="方正仿宋_GBK" w:cs="方正仿宋_GBK"/>
          <w:sz w:val="28"/>
          <w:szCs w:val="28"/>
        </w:rPr>
      </w:pPr>
    </w:p>
    <w:p>
      <w:pPr>
        <w:jc w:val="both"/>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b/>
          <w:bCs/>
          <w:sz w:val="28"/>
          <w:szCs w:val="28"/>
        </w:rPr>
      </w:pPr>
    </w:p>
    <w:p>
      <w:pPr>
        <w:rPr>
          <w:rFonts w:hint="eastAsia" w:ascii="方正仿宋_GBK" w:hAnsi="方正仿宋_GBK" w:eastAsia="方正仿宋_GBK" w:cs="方正仿宋_GBK"/>
          <w:b/>
          <w:bCs/>
          <w:sz w:val="28"/>
          <w:szCs w:val="28"/>
        </w:rPr>
      </w:pPr>
    </w:p>
    <w:p>
      <w:pPr>
        <w:pStyle w:val="2"/>
        <w:rPr>
          <w:rFonts w:hint="eastAsia" w:ascii="方正仿宋_GBK" w:hAnsi="方正仿宋_GBK" w:eastAsia="方正仿宋_GBK" w:cs="方正仿宋_GBK"/>
          <w:b/>
          <w:bCs/>
          <w:sz w:val="28"/>
          <w:szCs w:val="28"/>
        </w:rPr>
      </w:pPr>
    </w:p>
    <w:p>
      <w:pPr>
        <w:rPr>
          <w:rFonts w:hint="eastAsia" w:ascii="方正仿宋_GBK" w:hAnsi="方正仿宋_GBK" w:eastAsia="方正仿宋_GBK" w:cs="方正仿宋_GBK"/>
          <w:b/>
          <w:bCs/>
          <w:sz w:val="28"/>
          <w:szCs w:val="28"/>
        </w:rPr>
      </w:pPr>
    </w:p>
    <w:p>
      <w:pPr>
        <w:rPr>
          <w:rFonts w:hint="eastAsia" w:ascii="方正仿宋_GBK" w:hAnsi="方正仿宋_GBK" w:eastAsia="方正仿宋_GBK" w:cs="方正仿宋_GBK"/>
          <w:b/>
          <w:bCs/>
          <w:sz w:val="28"/>
          <w:szCs w:val="28"/>
        </w:rPr>
      </w:pPr>
    </w:p>
    <w:p>
      <w:pP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附件 1</w:t>
      </w:r>
    </w:p>
    <w:p>
      <w:pPr>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rPr>
        <w:t>2022 年新能源汽车检测与维修教师技能提升培训内容</w:t>
      </w:r>
    </w:p>
    <w:p>
      <w:pPr>
        <w:jc w:val="center"/>
        <w:rPr>
          <w:rFonts w:hint="eastAsia" w:ascii="方正小标宋_GBK" w:hAnsi="方正小标宋_GBK" w:eastAsia="方正小标宋_GBK" w:cs="方正小标宋_GBK"/>
          <w:b/>
          <w:bCs/>
          <w:sz w:val="36"/>
          <w:szCs w:val="36"/>
        </w:rPr>
      </w:pPr>
    </w:p>
    <w:p>
      <w:pPr>
        <w:numPr>
          <w:ilvl w:val="0"/>
          <w:numId w:val="0"/>
        </w:numPr>
        <w:ind w:firstLine="562" w:firstLineChars="200"/>
        <w:jc w:val="both"/>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lang w:val="en-US" w:eastAsia="zh-CN"/>
        </w:rPr>
        <w:t>一、</w:t>
      </w:r>
      <w:r>
        <w:rPr>
          <w:rFonts w:hint="eastAsia" w:ascii="方正仿宋_GBK" w:hAnsi="方正仿宋_GBK" w:eastAsia="方正仿宋_GBK" w:cs="方正仿宋_GBK"/>
          <w:b/>
          <w:bCs/>
          <w:sz w:val="28"/>
          <w:szCs w:val="28"/>
        </w:rPr>
        <w:t>新能源汽车检测与维修教师技能提升培训内容培训内容（7 天 56 学时）</w:t>
      </w:r>
    </w:p>
    <w:p>
      <w:pPr>
        <w:numPr>
          <w:ilvl w:val="0"/>
          <w:numId w:val="0"/>
        </w:numPr>
        <w:ind w:firstLine="560" w:firstLineChars="200"/>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（一）新能源汽车产业动态与关键技术</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（二）新能源汽车故障诊断与排除模块</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1.新能源汽车故障诊断与排除详细解析</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2.新能源汽车故障诊断与排除实操训练</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3.新能源汽车故障诊断与排除定期维护实操练习</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（三）新能源汽车充电设备装配与调试模块</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1.新能源汽车充电设备装配与调试详细解析</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2.新能源汽车充电设备装配与调试定期维护流程演示指导</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3.新能源汽车充电设备装配与调试定期维护实操练习</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（四）新能源汽车动力总成拆装与检测模块</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1.新能源汽车动力总成拆装与检测详细解析</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2.新能源汽车动力总成拆装与检测定期维护流程演示指导</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3.新能源汽车动力总成拆装与检测项目实操练习</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（五）新能源汽车维护与高压组件更换模块</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1.新能源汽车维护与高压组件更换详细解析</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2.新能源汽车维护与高压组件更换定期维护流程演示指导</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3.新能源汽车维护与高压组件更换赛项实操练习</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（六）高压无法供电故障诊断</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高压分配系统故障诊断</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高压电池及管理系统故障诊断</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（七）低压无法供电故障诊断</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（八）交直流无法充电故障诊断</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充电控制信号解析</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不能充电诊断分析</w:t>
      </w:r>
    </w:p>
    <w:p>
      <w:pPr>
        <w:ind w:firstLine="562" w:firstLineChars="200"/>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二、重庆市中高职教师教学升学技能提升培训课程内容（7 天 56 学时）</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（一）汽车底盘构造与维修实操解读、汽车电气设备构造与维修实操解读、汽车发动机构造与维修实操解读</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（二）汽车底盘、电气、发动机实操项目训练方法、训练过程心里辅导</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（三）汽车底盘、电气、发动机实操项目考试过程注意事项及案例分析</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（四）汽车底盘构造与维修实操练习</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汽车传动系</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汽车行驶系</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汽车转向系</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汽车制动系</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（五）汽车电气设备构造与维修实操练习</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电源系统</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起动系统</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点火系统</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照明、信号、仪表、警报系统</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辅助电气设备</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全车线路</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（六）汽车发动机构造与维修实操练习</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绪论</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汽车发动机总论</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曲柄连杆机构的构造与维修</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配气机构的构造与维修</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发动机冷却系统的构造与维修</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发动机润滑系统的构造与维修</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化油器式汽油机燃油系统的构造与维修</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汽油机电子控制燃油喷射系统的基本常识</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9</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柴油机燃油系统的构造与维修</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10</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进排气系统及排污净化装置</w:t>
      </w:r>
    </w:p>
    <w:p>
      <w:pPr>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11</w:t>
      </w:r>
      <w:r>
        <w:rPr>
          <w:rFonts w:hint="eastAsia" w:ascii="方正仿宋_GBK" w:hAnsi="方正仿宋_GBK" w:eastAsia="方正仿宋_GBK" w:cs="方正仿宋_GBK"/>
          <w:sz w:val="28"/>
          <w:szCs w:val="28"/>
          <w:lang w:val="en-US" w:eastAsia="zh-CN"/>
        </w:rPr>
        <w:t>.</w:t>
      </w:r>
      <w:r>
        <w:rPr>
          <w:rFonts w:hint="eastAsia" w:ascii="方正仿宋_GBK" w:hAnsi="方正仿宋_GBK" w:eastAsia="方正仿宋_GBK" w:cs="方正仿宋_GBK"/>
          <w:sz w:val="28"/>
          <w:szCs w:val="28"/>
        </w:rPr>
        <w:t>发动机的装配、调整与磨合</w:t>
      </w:r>
    </w:p>
    <w:p>
      <w:pPr>
        <w:rPr>
          <w:rFonts w:hint="eastAsia" w:ascii="方正仿宋_GBK" w:hAnsi="方正仿宋_GBK" w:eastAsia="方正仿宋_GBK" w:cs="方正仿宋_GBK"/>
          <w:sz w:val="28"/>
          <w:szCs w:val="28"/>
        </w:rPr>
      </w:pPr>
    </w:p>
    <w:p>
      <w:pPr>
        <w:rPr>
          <w:rFonts w:hint="eastAsia" w:ascii="方正仿宋_GBK" w:hAnsi="方正仿宋_GBK" w:eastAsia="方正仿宋_GBK" w:cs="方正仿宋_GBK"/>
          <w:sz w:val="28"/>
          <w:szCs w:val="28"/>
        </w:rPr>
      </w:pPr>
    </w:p>
    <w:p>
      <w:pPr>
        <w:pStyle w:val="5"/>
        <w:keepNext w:val="0"/>
        <w:keepLines w:val="0"/>
        <w:pageBreakBefore w:val="0"/>
        <w:widowControl w:val="0"/>
        <w:kinsoku/>
        <w:wordWrap/>
        <w:overflowPunct/>
        <w:topLinePunct w:val="0"/>
        <w:autoSpaceDE w:val="0"/>
        <w:autoSpaceDN w:val="0"/>
        <w:bidi w:val="0"/>
        <w:adjustRightInd/>
        <w:snapToGrid/>
        <w:spacing w:line="600" w:lineRule="exact"/>
        <w:textAlignment w:val="auto"/>
        <w:rPr>
          <w:rFonts w:hint="eastAsia" w:ascii="方正黑体_GBK" w:hAnsi="方正黑体_GBK" w:eastAsia="方正黑体_GBK" w:cs="方正黑体_GBK"/>
          <w:b w:val="0"/>
          <w:bCs w:val="0"/>
        </w:rPr>
      </w:pPr>
      <w:r>
        <w:rPr>
          <w:rFonts w:hint="eastAsia" w:ascii="方正仿宋_GBK" w:hAnsi="方正仿宋_GBK" w:eastAsia="方正仿宋_GBK" w:cs="方正仿宋_GBK"/>
        </w:rPr>
        <w:br w:type="column"/>
      </w:r>
      <w:r>
        <w:rPr>
          <w:rFonts w:hint="eastAsia" w:ascii="方正黑体_GBK" w:hAnsi="方正黑体_GBK" w:eastAsia="方正黑体_GBK" w:cs="方正黑体_GBK"/>
          <w:b w:val="0"/>
          <w:bCs w:val="0"/>
        </w:rPr>
        <w:t>附件 2</w:t>
      </w:r>
    </w:p>
    <w:p>
      <w:pPr>
        <w:pStyle w:val="5"/>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2022 年职业院校汽车</w:t>
      </w:r>
    </w:p>
    <w:p>
      <w:pPr>
        <w:pStyle w:val="5"/>
        <w:keepNext w:val="0"/>
        <w:keepLines w:val="0"/>
        <w:pageBreakBefore w:val="0"/>
        <w:widowControl w:val="0"/>
        <w:kinsoku/>
        <w:wordWrap/>
        <w:overflowPunct/>
        <w:topLinePunct w:val="0"/>
        <w:autoSpaceDE w:val="0"/>
        <w:autoSpaceDN w:val="0"/>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专业教师技能提升培训报名回执表</w:t>
      </w:r>
    </w:p>
    <w:tbl>
      <w:tblPr>
        <w:tblStyle w:val="8"/>
        <w:tblpPr w:leftFromText="180" w:rightFromText="180" w:vertAnchor="text" w:horzAnchor="page" w:tblpXSpec="center" w:tblpY="483"/>
        <w:tblOverlap w:val="never"/>
        <w:tblW w:w="926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19"/>
        <w:gridCol w:w="958"/>
        <w:gridCol w:w="707"/>
        <w:gridCol w:w="1427"/>
        <w:gridCol w:w="273"/>
        <w:gridCol w:w="1133"/>
        <w:gridCol w:w="2664"/>
        <w:gridCol w:w="168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8" w:hRule="atLeast"/>
          <w:jc w:val="center"/>
        </w:trPr>
        <w:tc>
          <w:tcPr>
            <w:tcW w:w="1377" w:type="dxa"/>
            <w:gridSpan w:val="2"/>
            <w:vMerge w:val="restart"/>
          </w:tcPr>
          <w:p>
            <w:pPr>
              <w:pStyle w:val="12"/>
              <w:rPr>
                <w:b/>
                <w:sz w:val="20"/>
              </w:rPr>
            </w:pPr>
          </w:p>
          <w:p>
            <w:pPr>
              <w:pStyle w:val="12"/>
              <w:rPr>
                <w:b/>
                <w:sz w:val="20"/>
              </w:rPr>
            </w:pPr>
          </w:p>
          <w:p>
            <w:pPr>
              <w:pStyle w:val="12"/>
              <w:rPr>
                <w:b/>
                <w:sz w:val="20"/>
              </w:rPr>
            </w:pPr>
          </w:p>
          <w:p>
            <w:pPr>
              <w:pStyle w:val="12"/>
              <w:spacing w:before="166"/>
              <w:ind w:left="267"/>
              <w:rPr>
                <w:sz w:val="21"/>
              </w:rPr>
            </w:pPr>
            <w:r>
              <w:rPr>
                <w:sz w:val="21"/>
              </w:rPr>
              <w:t>发票信息</w:t>
            </w:r>
          </w:p>
        </w:tc>
        <w:tc>
          <w:tcPr>
            <w:tcW w:w="2407" w:type="dxa"/>
            <w:gridSpan w:val="3"/>
            <w:tcBorders>
              <w:bottom w:val="single" w:color="000000" w:sz="4" w:space="0"/>
              <w:right w:val="single" w:color="000000" w:sz="4" w:space="0"/>
            </w:tcBorders>
          </w:tcPr>
          <w:p>
            <w:pPr>
              <w:pStyle w:val="12"/>
              <w:spacing w:before="7"/>
              <w:rPr>
                <w:b/>
                <w:sz w:val="19"/>
              </w:rPr>
            </w:pPr>
          </w:p>
          <w:p>
            <w:pPr>
              <w:pStyle w:val="12"/>
              <w:spacing w:before="1"/>
              <w:ind w:left="781"/>
              <w:rPr>
                <w:sz w:val="21"/>
              </w:rPr>
            </w:pPr>
            <w:r>
              <w:rPr>
                <w:sz w:val="21"/>
              </w:rPr>
              <w:t>学校名称</w:t>
            </w:r>
          </w:p>
        </w:tc>
        <w:tc>
          <w:tcPr>
            <w:tcW w:w="5477" w:type="dxa"/>
            <w:gridSpan w:val="3"/>
            <w:tcBorders>
              <w:left w:val="single" w:color="000000" w:sz="4" w:space="0"/>
              <w:bottom w:val="single" w:color="000000" w:sz="4" w:space="0"/>
            </w:tcBorders>
          </w:tcPr>
          <w:p>
            <w:pPr>
              <w:pStyle w:val="12"/>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5" w:hRule="atLeast"/>
          <w:jc w:val="center"/>
        </w:trPr>
        <w:tc>
          <w:tcPr>
            <w:tcW w:w="1377" w:type="dxa"/>
            <w:gridSpan w:val="2"/>
            <w:vMerge w:val="continue"/>
            <w:tcBorders>
              <w:top w:val="nil"/>
            </w:tcBorders>
          </w:tcPr>
          <w:p>
            <w:pPr>
              <w:rPr>
                <w:sz w:val="2"/>
                <w:szCs w:val="2"/>
              </w:rPr>
            </w:pPr>
          </w:p>
        </w:tc>
        <w:tc>
          <w:tcPr>
            <w:tcW w:w="2407" w:type="dxa"/>
            <w:gridSpan w:val="3"/>
            <w:tcBorders>
              <w:top w:val="single" w:color="000000" w:sz="4" w:space="0"/>
              <w:bottom w:val="single" w:color="000000" w:sz="4" w:space="0"/>
              <w:right w:val="single" w:color="000000" w:sz="4" w:space="0"/>
            </w:tcBorders>
          </w:tcPr>
          <w:p>
            <w:pPr>
              <w:pStyle w:val="12"/>
              <w:spacing w:before="87"/>
              <w:ind w:left="971" w:right="960"/>
              <w:jc w:val="center"/>
              <w:rPr>
                <w:sz w:val="21"/>
              </w:rPr>
            </w:pPr>
            <w:r>
              <w:rPr>
                <w:sz w:val="21"/>
              </w:rPr>
              <w:t>税号</w:t>
            </w:r>
          </w:p>
        </w:tc>
        <w:tc>
          <w:tcPr>
            <w:tcW w:w="5477" w:type="dxa"/>
            <w:gridSpan w:val="3"/>
            <w:tcBorders>
              <w:top w:val="single" w:color="000000" w:sz="4" w:space="0"/>
              <w:left w:val="single" w:color="000000" w:sz="4" w:space="0"/>
              <w:bottom w:val="single" w:color="000000" w:sz="4" w:space="0"/>
            </w:tcBorders>
          </w:tcPr>
          <w:p>
            <w:pPr>
              <w:pStyle w:val="12"/>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6" w:hRule="atLeast"/>
          <w:jc w:val="center"/>
        </w:trPr>
        <w:tc>
          <w:tcPr>
            <w:tcW w:w="1377" w:type="dxa"/>
            <w:gridSpan w:val="2"/>
            <w:vMerge w:val="continue"/>
            <w:tcBorders>
              <w:top w:val="nil"/>
            </w:tcBorders>
          </w:tcPr>
          <w:p>
            <w:pPr>
              <w:rPr>
                <w:sz w:val="2"/>
                <w:szCs w:val="2"/>
              </w:rPr>
            </w:pPr>
          </w:p>
        </w:tc>
        <w:tc>
          <w:tcPr>
            <w:tcW w:w="2407" w:type="dxa"/>
            <w:gridSpan w:val="3"/>
            <w:tcBorders>
              <w:top w:val="single" w:color="000000" w:sz="4" w:space="0"/>
              <w:bottom w:val="single" w:color="000000" w:sz="4" w:space="0"/>
              <w:right w:val="single" w:color="000000" w:sz="4" w:space="0"/>
            </w:tcBorders>
          </w:tcPr>
          <w:p>
            <w:pPr>
              <w:pStyle w:val="12"/>
              <w:spacing w:before="87"/>
              <w:ind w:left="971" w:right="960"/>
              <w:jc w:val="center"/>
              <w:rPr>
                <w:sz w:val="21"/>
              </w:rPr>
            </w:pPr>
            <w:r>
              <w:rPr>
                <w:sz w:val="21"/>
              </w:rPr>
              <w:t>地址</w:t>
            </w:r>
          </w:p>
        </w:tc>
        <w:tc>
          <w:tcPr>
            <w:tcW w:w="5477" w:type="dxa"/>
            <w:gridSpan w:val="3"/>
            <w:tcBorders>
              <w:top w:val="single" w:color="000000" w:sz="4" w:space="0"/>
              <w:left w:val="single" w:color="000000" w:sz="4" w:space="0"/>
              <w:bottom w:val="single" w:color="000000" w:sz="4" w:space="0"/>
            </w:tcBorders>
          </w:tcPr>
          <w:p>
            <w:pPr>
              <w:pStyle w:val="12"/>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0" w:hRule="atLeast"/>
          <w:jc w:val="center"/>
        </w:trPr>
        <w:tc>
          <w:tcPr>
            <w:tcW w:w="1377" w:type="dxa"/>
            <w:gridSpan w:val="2"/>
            <w:vMerge w:val="continue"/>
            <w:tcBorders>
              <w:top w:val="nil"/>
            </w:tcBorders>
          </w:tcPr>
          <w:p>
            <w:pPr>
              <w:rPr>
                <w:sz w:val="2"/>
                <w:szCs w:val="2"/>
              </w:rPr>
            </w:pPr>
          </w:p>
        </w:tc>
        <w:tc>
          <w:tcPr>
            <w:tcW w:w="2407" w:type="dxa"/>
            <w:gridSpan w:val="3"/>
            <w:tcBorders>
              <w:top w:val="single" w:color="000000" w:sz="4" w:space="0"/>
              <w:right w:val="single" w:color="000000" w:sz="4" w:space="0"/>
            </w:tcBorders>
          </w:tcPr>
          <w:p>
            <w:pPr>
              <w:pStyle w:val="12"/>
              <w:spacing w:before="87"/>
              <w:ind w:left="971" w:right="960"/>
              <w:jc w:val="center"/>
              <w:rPr>
                <w:sz w:val="21"/>
              </w:rPr>
            </w:pPr>
            <w:r>
              <w:rPr>
                <w:sz w:val="21"/>
              </w:rPr>
              <w:t>电话</w:t>
            </w:r>
          </w:p>
        </w:tc>
        <w:tc>
          <w:tcPr>
            <w:tcW w:w="5477" w:type="dxa"/>
            <w:gridSpan w:val="3"/>
            <w:tcBorders>
              <w:top w:val="single" w:color="000000" w:sz="4" w:space="0"/>
              <w:left w:val="single" w:color="000000" w:sz="4" w:space="0"/>
            </w:tcBorders>
          </w:tcPr>
          <w:p>
            <w:pPr>
              <w:pStyle w:val="12"/>
              <w:rPr>
                <w:rFonts w:ascii="Times New Roman"/>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5" w:hRule="atLeast"/>
          <w:jc w:val="center"/>
        </w:trPr>
        <w:tc>
          <w:tcPr>
            <w:tcW w:w="419" w:type="dxa"/>
            <w:vMerge w:val="restart"/>
            <w:vAlign w:val="center"/>
          </w:tcPr>
          <w:p>
            <w:pPr>
              <w:pStyle w:val="12"/>
              <w:spacing w:before="3"/>
              <w:jc w:val="center"/>
              <w:rPr>
                <w:b/>
                <w:sz w:val="23"/>
              </w:rPr>
            </w:pPr>
          </w:p>
          <w:p>
            <w:pPr>
              <w:pStyle w:val="12"/>
              <w:spacing w:line="242" w:lineRule="auto"/>
              <w:ind w:left="106" w:right="81"/>
              <w:jc w:val="center"/>
              <w:rPr>
                <w:sz w:val="21"/>
              </w:rPr>
            </w:pPr>
            <w:r>
              <w:rPr>
                <w:sz w:val="21"/>
              </w:rPr>
              <w:t>参训人员</w:t>
            </w:r>
          </w:p>
        </w:tc>
        <w:tc>
          <w:tcPr>
            <w:tcW w:w="958" w:type="dxa"/>
            <w:vAlign w:val="center"/>
          </w:tcPr>
          <w:p>
            <w:pPr>
              <w:pStyle w:val="12"/>
              <w:spacing w:before="82"/>
              <w:ind w:left="268"/>
              <w:jc w:val="center"/>
              <w:rPr>
                <w:sz w:val="21"/>
              </w:rPr>
            </w:pPr>
            <w:r>
              <w:rPr>
                <w:sz w:val="21"/>
              </w:rPr>
              <w:t>姓名</w:t>
            </w:r>
          </w:p>
        </w:tc>
        <w:tc>
          <w:tcPr>
            <w:tcW w:w="707" w:type="dxa"/>
            <w:vAlign w:val="center"/>
          </w:tcPr>
          <w:p>
            <w:pPr>
              <w:pStyle w:val="12"/>
              <w:spacing w:before="82"/>
              <w:ind w:left="143"/>
              <w:jc w:val="center"/>
              <w:rPr>
                <w:sz w:val="21"/>
              </w:rPr>
            </w:pPr>
            <w:r>
              <w:rPr>
                <w:sz w:val="21"/>
              </w:rPr>
              <w:t>性别</w:t>
            </w:r>
          </w:p>
        </w:tc>
        <w:tc>
          <w:tcPr>
            <w:tcW w:w="1427" w:type="dxa"/>
            <w:vAlign w:val="center"/>
          </w:tcPr>
          <w:p>
            <w:pPr>
              <w:pStyle w:val="12"/>
              <w:spacing w:before="82"/>
              <w:ind w:left="288"/>
              <w:jc w:val="center"/>
              <w:rPr>
                <w:sz w:val="21"/>
              </w:rPr>
            </w:pPr>
            <w:r>
              <w:rPr>
                <w:sz w:val="21"/>
              </w:rPr>
              <w:t>联系电话</w:t>
            </w:r>
          </w:p>
        </w:tc>
        <w:tc>
          <w:tcPr>
            <w:tcW w:w="1406" w:type="dxa"/>
            <w:gridSpan w:val="2"/>
            <w:vAlign w:val="center"/>
          </w:tcPr>
          <w:p>
            <w:pPr>
              <w:pStyle w:val="12"/>
              <w:spacing w:before="82"/>
              <w:ind w:left="277"/>
              <w:jc w:val="center"/>
              <w:rPr>
                <w:sz w:val="21"/>
              </w:rPr>
            </w:pPr>
            <w:r>
              <w:rPr>
                <w:sz w:val="21"/>
              </w:rPr>
              <w:t>电子邮箱</w:t>
            </w:r>
          </w:p>
        </w:tc>
        <w:tc>
          <w:tcPr>
            <w:tcW w:w="2664" w:type="dxa"/>
            <w:vAlign w:val="center"/>
          </w:tcPr>
          <w:p>
            <w:pPr>
              <w:pStyle w:val="12"/>
              <w:ind w:right="1313"/>
              <w:jc w:val="center"/>
              <w:rPr>
                <w:sz w:val="21"/>
              </w:rPr>
            </w:pPr>
            <w:r>
              <w:rPr>
                <w:rFonts w:hint="eastAsia"/>
                <w:sz w:val="21"/>
                <w:lang w:val="en-US" w:eastAsia="zh-CN"/>
              </w:rPr>
              <w:t xml:space="preserve">    </w:t>
            </w:r>
            <w:r>
              <w:rPr>
                <w:sz w:val="21"/>
              </w:rPr>
              <w:t>培训项目</w:t>
            </w:r>
          </w:p>
        </w:tc>
        <w:tc>
          <w:tcPr>
            <w:tcW w:w="1680" w:type="dxa"/>
            <w:vAlign w:val="center"/>
          </w:tcPr>
          <w:p>
            <w:pPr>
              <w:pStyle w:val="12"/>
              <w:spacing w:before="82"/>
              <w:ind w:left="336" w:right="323"/>
              <w:jc w:val="center"/>
              <w:rPr>
                <w:sz w:val="21"/>
              </w:rPr>
            </w:pPr>
            <w:r>
              <w:rPr>
                <w:sz w:val="21"/>
              </w:rPr>
              <w:t>住宿要求</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0" w:hRule="atLeast"/>
          <w:jc w:val="center"/>
        </w:trPr>
        <w:tc>
          <w:tcPr>
            <w:tcW w:w="419" w:type="dxa"/>
            <w:vMerge w:val="continue"/>
            <w:tcBorders>
              <w:top w:val="nil"/>
            </w:tcBorders>
            <w:vAlign w:val="center"/>
          </w:tcPr>
          <w:p>
            <w:pPr>
              <w:jc w:val="center"/>
              <w:rPr>
                <w:sz w:val="2"/>
                <w:szCs w:val="2"/>
              </w:rPr>
            </w:pPr>
          </w:p>
        </w:tc>
        <w:tc>
          <w:tcPr>
            <w:tcW w:w="958" w:type="dxa"/>
            <w:vAlign w:val="center"/>
          </w:tcPr>
          <w:p>
            <w:pPr>
              <w:pStyle w:val="12"/>
              <w:jc w:val="center"/>
              <w:rPr>
                <w:rFonts w:ascii="Times New Roman"/>
                <w:sz w:val="24"/>
              </w:rPr>
            </w:pPr>
          </w:p>
        </w:tc>
        <w:tc>
          <w:tcPr>
            <w:tcW w:w="707" w:type="dxa"/>
            <w:vAlign w:val="center"/>
          </w:tcPr>
          <w:p>
            <w:pPr>
              <w:pStyle w:val="12"/>
              <w:jc w:val="center"/>
              <w:rPr>
                <w:rFonts w:ascii="Times New Roman"/>
                <w:sz w:val="24"/>
              </w:rPr>
            </w:pPr>
          </w:p>
        </w:tc>
        <w:tc>
          <w:tcPr>
            <w:tcW w:w="1427" w:type="dxa"/>
            <w:vAlign w:val="center"/>
          </w:tcPr>
          <w:p>
            <w:pPr>
              <w:pStyle w:val="12"/>
              <w:jc w:val="center"/>
              <w:rPr>
                <w:rFonts w:ascii="Times New Roman"/>
                <w:sz w:val="24"/>
              </w:rPr>
            </w:pPr>
          </w:p>
        </w:tc>
        <w:tc>
          <w:tcPr>
            <w:tcW w:w="1406" w:type="dxa"/>
            <w:gridSpan w:val="2"/>
            <w:vAlign w:val="center"/>
          </w:tcPr>
          <w:p>
            <w:pPr>
              <w:pStyle w:val="12"/>
              <w:jc w:val="center"/>
              <w:rPr>
                <w:rFonts w:ascii="Times New Roman"/>
                <w:sz w:val="24"/>
              </w:rPr>
            </w:pPr>
          </w:p>
        </w:tc>
        <w:tc>
          <w:tcPr>
            <w:tcW w:w="2664" w:type="dxa"/>
            <w:vAlign w:val="center"/>
          </w:tcPr>
          <w:p>
            <w:pPr>
              <w:pStyle w:val="12"/>
              <w:numPr>
                <w:ilvl w:val="0"/>
                <w:numId w:val="0"/>
              </w:numPr>
              <w:tabs>
                <w:tab w:val="left" w:pos="1310"/>
                <w:tab w:val="left" w:pos="1624"/>
                <w:tab w:val="left" w:pos="2125"/>
              </w:tabs>
              <w:spacing w:before="1"/>
              <w:ind w:left="660" w:leftChars="0"/>
              <w:jc w:val="center"/>
              <w:rPr>
                <w:sz w:val="21"/>
              </w:rPr>
            </w:pPr>
            <w:r>
              <w:rPr>
                <w:rFonts w:ascii="Wingdings" w:hAnsi="Wingdings"/>
                <w:sz w:val="21"/>
              </w:rPr>
              <w:t></w:t>
            </w:r>
            <w:r>
              <w:rPr>
                <w:sz w:val="21"/>
              </w:rPr>
              <w:t>A</w:t>
            </w:r>
            <w:r>
              <w:rPr>
                <w:rFonts w:hint="eastAsia"/>
                <w:sz w:val="21"/>
                <w:lang w:val="en-US"/>
              </w:rPr>
              <w:t xml:space="preserve">  </w:t>
            </w:r>
            <w:r>
              <w:rPr>
                <w:sz w:val="21"/>
              </w:rPr>
              <w:tab/>
            </w:r>
            <w:r>
              <w:rPr>
                <w:rFonts w:ascii="Wingdings" w:hAnsi="Wingdings"/>
                <w:sz w:val="21"/>
              </w:rPr>
              <w:t></w:t>
            </w:r>
            <w:r>
              <w:rPr>
                <w:sz w:val="21"/>
              </w:rPr>
              <w:t>B</w:t>
            </w:r>
          </w:p>
        </w:tc>
        <w:tc>
          <w:tcPr>
            <w:tcW w:w="1680" w:type="dxa"/>
            <w:vAlign w:val="center"/>
          </w:tcPr>
          <w:p>
            <w:pPr>
              <w:pStyle w:val="12"/>
              <w:numPr>
                <w:ilvl w:val="0"/>
                <w:numId w:val="1"/>
              </w:numPr>
              <w:tabs>
                <w:tab w:val="left" w:pos="360"/>
              </w:tabs>
              <w:spacing w:before="1"/>
              <w:jc w:val="center"/>
              <w:rPr>
                <w:sz w:val="21"/>
              </w:rPr>
            </w:pPr>
            <w:r>
              <w:rPr>
                <w:sz w:val="21"/>
              </w:rPr>
              <w:t>标间</w:t>
            </w:r>
            <w:r>
              <w:rPr>
                <w:rFonts w:ascii="Wingdings" w:hAnsi="Wingdings" w:eastAsia="Wingdings"/>
                <w:sz w:val="21"/>
              </w:rPr>
              <w:t></w:t>
            </w:r>
            <w:r>
              <w:rPr>
                <w:sz w:val="21"/>
              </w:rPr>
              <w:t>单间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0" w:hRule="atLeast"/>
          <w:jc w:val="center"/>
        </w:trPr>
        <w:tc>
          <w:tcPr>
            <w:tcW w:w="419" w:type="dxa"/>
            <w:vMerge w:val="continue"/>
            <w:tcBorders>
              <w:top w:val="nil"/>
            </w:tcBorders>
            <w:vAlign w:val="center"/>
          </w:tcPr>
          <w:p>
            <w:pPr>
              <w:jc w:val="center"/>
              <w:rPr>
                <w:sz w:val="2"/>
                <w:szCs w:val="2"/>
              </w:rPr>
            </w:pPr>
          </w:p>
        </w:tc>
        <w:tc>
          <w:tcPr>
            <w:tcW w:w="958" w:type="dxa"/>
            <w:vAlign w:val="center"/>
          </w:tcPr>
          <w:p>
            <w:pPr>
              <w:pStyle w:val="12"/>
              <w:jc w:val="center"/>
              <w:rPr>
                <w:rFonts w:ascii="Times New Roman"/>
                <w:sz w:val="24"/>
              </w:rPr>
            </w:pPr>
          </w:p>
        </w:tc>
        <w:tc>
          <w:tcPr>
            <w:tcW w:w="707" w:type="dxa"/>
            <w:vAlign w:val="center"/>
          </w:tcPr>
          <w:p>
            <w:pPr>
              <w:pStyle w:val="12"/>
              <w:jc w:val="center"/>
              <w:rPr>
                <w:rFonts w:ascii="Times New Roman"/>
                <w:sz w:val="24"/>
              </w:rPr>
            </w:pPr>
          </w:p>
        </w:tc>
        <w:tc>
          <w:tcPr>
            <w:tcW w:w="1427" w:type="dxa"/>
            <w:vAlign w:val="center"/>
          </w:tcPr>
          <w:p>
            <w:pPr>
              <w:pStyle w:val="12"/>
              <w:jc w:val="center"/>
              <w:rPr>
                <w:rFonts w:ascii="Times New Roman"/>
                <w:sz w:val="24"/>
              </w:rPr>
            </w:pPr>
          </w:p>
        </w:tc>
        <w:tc>
          <w:tcPr>
            <w:tcW w:w="1406" w:type="dxa"/>
            <w:gridSpan w:val="2"/>
            <w:vAlign w:val="center"/>
          </w:tcPr>
          <w:p>
            <w:pPr>
              <w:pStyle w:val="12"/>
              <w:jc w:val="center"/>
              <w:rPr>
                <w:rFonts w:ascii="Times New Roman"/>
                <w:sz w:val="24"/>
              </w:rPr>
            </w:pPr>
          </w:p>
        </w:tc>
        <w:tc>
          <w:tcPr>
            <w:tcW w:w="2664" w:type="dxa"/>
            <w:vAlign w:val="center"/>
          </w:tcPr>
          <w:p>
            <w:pPr>
              <w:pStyle w:val="12"/>
              <w:numPr>
                <w:ilvl w:val="0"/>
                <w:numId w:val="0"/>
              </w:numPr>
              <w:tabs>
                <w:tab w:val="left" w:pos="1310"/>
                <w:tab w:val="left" w:pos="1624"/>
                <w:tab w:val="left" w:pos="2125"/>
              </w:tabs>
              <w:ind w:left="660" w:leftChars="0"/>
              <w:jc w:val="center"/>
              <w:rPr>
                <w:sz w:val="21"/>
              </w:rPr>
            </w:pPr>
            <w:r>
              <w:rPr>
                <w:rFonts w:ascii="Wingdings" w:hAnsi="Wingdings"/>
                <w:sz w:val="21"/>
              </w:rPr>
              <w:t></w:t>
            </w:r>
            <w:r>
              <w:rPr>
                <w:sz w:val="21"/>
              </w:rPr>
              <w:t>A</w:t>
            </w:r>
            <w:r>
              <w:rPr>
                <w:rFonts w:hint="eastAsia"/>
                <w:sz w:val="21"/>
                <w:lang w:val="en-US"/>
              </w:rPr>
              <w:t xml:space="preserve">  </w:t>
            </w:r>
            <w:r>
              <w:rPr>
                <w:sz w:val="21"/>
              </w:rPr>
              <w:tab/>
            </w:r>
            <w:r>
              <w:rPr>
                <w:rFonts w:ascii="Wingdings" w:hAnsi="Wingdings"/>
                <w:sz w:val="21"/>
              </w:rPr>
              <w:t></w:t>
            </w:r>
            <w:r>
              <w:rPr>
                <w:sz w:val="21"/>
              </w:rPr>
              <w:t>B</w:t>
            </w:r>
          </w:p>
        </w:tc>
        <w:tc>
          <w:tcPr>
            <w:tcW w:w="1680" w:type="dxa"/>
            <w:vAlign w:val="center"/>
          </w:tcPr>
          <w:p>
            <w:pPr>
              <w:pStyle w:val="12"/>
              <w:numPr>
                <w:ilvl w:val="0"/>
                <w:numId w:val="2"/>
              </w:numPr>
              <w:tabs>
                <w:tab w:val="left" w:pos="360"/>
              </w:tabs>
              <w:jc w:val="center"/>
              <w:rPr>
                <w:sz w:val="21"/>
              </w:rPr>
            </w:pPr>
            <w:r>
              <w:rPr>
                <w:sz w:val="21"/>
              </w:rPr>
              <w:t>标间</w:t>
            </w:r>
            <w:r>
              <w:rPr>
                <w:rFonts w:ascii="Wingdings" w:hAnsi="Wingdings" w:eastAsia="Wingdings"/>
                <w:sz w:val="21"/>
              </w:rPr>
              <w:t></w:t>
            </w:r>
            <w:r>
              <w:rPr>
                <w:sz w:val="21"/>
              </w:rPr>
              <w:t>单间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0" w:hRule="atLeast"/>
          <w:jc w:val="center"/>
        </w:trPr>
        <w:tc>
          <w:tcPr>
            <w:tcW w:w="1377" w:type="dxa"/>
            <w:gridSpan w:val="2"/>
          </w:tcPr>
          <w:p>
            <w:pPr>
              <w:pStyle w:val="12"/>
              <w:spacing w:before="8"/>
              <w:rPr>
                <w:b/>
                <w:sz w:val="16"/>
              </w:rPr>
            </w:pPr>
          </w:p>
          <w:p>
            <w:pPr>
              <w:pStyle w:val="12"/>
              <w:ind w:left="267"/>
              <w:rPr>
                <w:sz w:val="21"/>
              </w:rPr>
            </w:pPr>
            <w:r>
              <w:rPr>
                <w:sz w:val="21"/>
              </w:rPr>
              <w:t>支付方式</w:t>
            </w:r>
          </w:p>
        </w:tc>
        <w:tc>
          <w:tcPr>
            <w:tcW w:w="7884" w:type="dxa"/>
            <w:gridSpan w:val="6"/>
          </w:tcPr>
          <w:p>
            <w:pPr>
              <w:pStyle w:val="12"/>
              <w:numPr>
                <w:ilvl w:val="0"/>
                <w:numId w:val="3"/>
              </w:numPr>
              <w:tabs>
                <w:tab w:val="left" w:pos="295"/>
                <w:tab w:val="left" w:pos="1343"/>
                <w:tab w:val="left" w:pos="2687"/>
                <w:tab w:val="left" w:pos="3608"/>
              </w:tabs>
              <w:rPr>
                <w:sz w:val="21"/>
              </w:rPr>
            </w:pPr>
            <w:r>
              <w:rPr>
                <w:sz w:val="21"/>
              </w:rPr>
              <w:t>在线支付</w:t>
            </w:r>
            <w:r>
              <w:rPr>
                <w:sz w:val="21"/>
              </w:rPr>
              <w:tab/>
            </w:r>
            <w:r>
              <w:rPr>
                <w:rFonts w:ascii="Wingdings" w:hAnsi="Wingdings" w:eastAsia="Wingdings"/>
                <w:sz w:val="21"/>
              </w:rPr>
              <w:t></w:t>
            </w:r>
            <w:r>
              <w:rPr>
                <w:sz w:val="21"/>
              </w:rPr>
              <w:t>现场刷卡</w:t>
            </w:r>
            <w:r>
              <w:rPr>
                <w:sz w:val="21"/>
              </w:rPr>
              <w:tab/>
            </w:r>
            <w:r>
              <w:rPr>
                <w:rFonts w:ascii="Wingdings" w:hAnsi="Wingdings" w:eastAsia="Wingdings"/>
                <w:sz w:val="21"/>
              </w:rPr>
              <w:t></w:t>
            </w:r>
            <w:r>
              <w:rPr>
                <w:sz w:val="21"/>
              </w:rPr>
              <w:t>汇款</w:t>
            </w:r>
            <w:r>
              <w:rPr>
                <w:sz w:val="21"/>
              </w:rPr>
              <w:tab/>
            </w:r>
            <w:r>
              <w:rPr>
                <w:rFonts w:ascii="Wingdings" w:hAnsi="Wingdings" w:eastAsia="Wingdings"/>
                <w:sz w:val="21"/>
              </w:rPr>
              <w:t></w:t>
            </w:r>
            <w:r>
              <w:rPr>
                <w:sz w:val="21"/>
              </w:rPr>
              <w:t>现金支付</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1" w:hRule="atLeast"/>
          <w:jc w:val="center"/>
        </w:trPr>
        <w:tc>
          <w:tcPr>
            <w:tcW w:w="1377" w:type="dxa"/>
            <w:gridSpan w:val="2"/>
            <w:vMerge w:val="restart"/>
          </w:tcPr>
          <w:p>
            <w:pPr>
              <w:pStyle w:val="12"/>
              <w:rPr>
                <w:b/>
                <w:sz w:val="20"/>
              </w:rPr>
            </w:pPr>
          </w:p>
          <w:p>
            <w:pPr>
              <w:pStyle w:val="12"/>
              <w:spacing w:before="10"/>
              <w:rPr>
                <w:b/>
                <w:sz w:val="23"/>
              </w:rPr>
            </w:pPr>
          </w:p>
          <w:p>
            <w:pPr>
              <w:pStyle w:val="12"/>
              <w:spacing w:before="1"/>
              <w:ind w:left="267"/>
              <w:rPr>
                <w:sz w:val="21"/>
              </w:rPr>
            </w:pPr>
            <w:r>
              <w:rPr>
                <w:sz w:val="21"/>
              </w:rPr>
              <w:t>汇款信息</w:t>
            </w:r>
          </w:p>
        </w:tc>
        <w:tc>
          <w:tcPr>
            <w:tcW w:w="2134" w:type="dxa"/>
            <w:gridSpan w:val="2"/>
            <w:tcBorders>
              <w:bottom w:val="single" w:color="000000" w:sz="4" w:space="0"/>
              <w:right w:val="single" w:color="000000" w:sz="4" w:space="0"/>
            </w:tcBorders>
          </w:tcPr>
          <w:p>
            <w:pPr>
              <w:pStyle w:val="12"/>
              <w:spacing w:before="81"/>
              <w:ind w:left="734" w:right="714"/>
              <w:jc w:val="center"/>
              <w:rPr>
                <w:sz w:val="21"/>
              </w:rPr>
            </w:pPr>
            <w:r>
              <w:rPr>
                <w:sz w:val="21"/>
              </w:rPr>
              <w:t>户名</w:t>
            </w:r>
          </w:p>
        </w:tc>
        <w:tc>
          <w:tcPr>
            <w:tcW w:w="5750" w:type="dxa"/>
            <w:gridSpan w:val="4"/>
            <w:tcBorders>
              <w:left w:val="single" w:color="000000" w:sz="4" w:space="0"/>
              <w:bottom w:val="single" w:color="000000" w:sz="4" w:space="0"/>
            </w:tcBorders>
          </w:tcPr>
          <w:p>
            <w:pPr>
              <w:pStyle w:val="12"/>
              <w:ind w:left="121"/>
              <w:rPr>
                <w:sz w:val="21"/>
              </w:rPr>
            </w:pPr>
            <w:r>
              <w:rPr>
                <w:sz w:val="21"/>
              </w:rPr>
              <w:t>重庆合信原力实业（集团）有限公司</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6" w:hRule="atLeast"/>
          <w:jc w:val="center"/>
        </w:trPr>
        <w:tc>
          <w:tcPr>
            <w:tcW w:w="1377" w:type="dxa"/>
            <w:gridSpan w:val="2"/>
            <w:vMerge w:val="continue"/>
            <w:tcBorders>
              <w:top w:val="nil"/>
            </w:tcBorders>
          </w:tcPr>
          <w:p>
            <w:pPr>
              <w:rPr>
                <w:sz w:val="2"/>
                <w:szCs w:val="2"/>
              </w:rPr>
            </w:pPr>
          </w:p>
        </w:tc>
        <w:tc>
          <w:tcPr>
            <w:tcW w:w="2134" w:type="dxa"/>
            <w:gridSpan w:val="2"/>
            <w:tcBorders>
              <w:top w:val="single" w:color="000000" w:sz="4" w:space="0"/>
              <w:bottom w:val="single" w:color="000000" w:sz="4" w:space="0"/>
              <w:right w:val="single" w:color="000000" w:sz="4" w:space="0"/>
            </w:tcBorders>
          </w:tcPr>
          <w:p>
            <w:pPr>
              <w:pStyle w:val="12"/>
              <w:spacing w:before="86"/>
              <w:ind w:left="734" w:right="714"/>
              <w:jc w:val="center"/>
              <w:rPr>
                <w:sz w:val="21"/>
              </w:rPr>
            </w:pPr>
            <w:r>
              <w:rPr>
                <w:sz w:val="21"/>
              </w:rPr>
              <w:t>开户行</w:t>
            </w:r>
          </w:p>
        </w:tc>
        <w:tc>
          <w:tcPr>
            <w:tcW w:w="5750" w:type="dxa"/>
            <w:gridSpan w:val="4"/>
            <w:tcBorders>
              <w:top w:val="single" w:color="000000" w:sz="4" w:space="0"/>
              <w:left w:val="single" w:color="000000" w:sz="4" w:space="0"/>
              <w:bottom w:val="single" w:color="000000" w:sz="4" w:space="0"/>
            </w:tcBorders>
          </w:tcPr>
          <w:p>
            <w:pPr>
              <w:pStyle w:val="12"/>
              <w:spacing w:before="5"/>
              <w:ind w:left="121"/>
              <w:rPr>
                <w:sz w:val="21"/>
              </w:rPr>
            </w:pPr>
            <w:r>
              <w:rPr>
                <w:sz w:val="21"/>
              </w:rPr>
              <w:t>中国光大银行重庆分行大坪支行</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jc w:val="center"/>
        </w:trPr>
        <w:tc>
          <w:tcPr>
            <w:tcW w:w="1377" w:type="dxa"/>
            <w:gridSpan w:val="2"/>
            <w:vMerge w:val="continue"/>
            <w:tcBorders>
              <w:top w:val="nil"/>
            </w:tcBorders>
          </w:tcPr>
          <w:p>
            <w:pPr>
              <w:rPr>
                <w:sz w:val="2"/>
                <w:szCs w:val="2"/>
              </w:rPr>
            </w:pPr>
          </w:p>
        </w:tc>
        <w:tc>
          <w:tcPr>
            <w:tcW w:w="2134" w:type="dxa"/>
            <w:gridSpan w:val="2"/>
            <w:tcBorders>
              <w:top w:val="single" w:color="000000" w:sz="4" w:space="0"/>
              <w:right w:val="single" w:color="000000" w:sz="4" w:space="0"/>
            </w:tcBorders>
          </w:tcPr>
          <w:p>
            <w:pPr>
              <w:pStyle w:val="12"/>
              <w:spacing w:before="110"/>
              <w:ind w:left="734" w:right="714"/>
              <w:jc w:val="center"/>
              <w:rPr>
                <w:sz w:val="21"/>
              </w:rPr>
            </w:pPr>
            <w:r>
              <w:rPr>
                <w:sz w:val="21"/>
              </w:rPr>
              <w:t>账号</w:t>
            </w:r>
          </w:p>
        </w:tc>
        <w:tc>
          <w:tcPr>
            <w:tcW w:w="5750" w:type="dxa"/>
            <w:gridSpan w:val="4"/>
            <w:tcBorders>
              <w:top w:val="single" w:color="000000" w:sz="4" w:space="0"/>
              <w:left w:val="single" w:color="000000" w:sz="4" w:space="0"/>
            </w:tcBorders>
          </w:tcPr>
          <w:p>
            <w:pPr>
              <w:pStyle w:val="12"/>
              <w:spacing w:before="5"/>
              <w:ind w:left="121"/>
              <w:rPr>
                <w:sz w:val="21"/>
              </w:rPr>
            </w:pPr>
            <w:r>
              <w:rPr>
                <w:sz w:val="21"/>
              </w:rPr>
              <w:t>78530188000235063</w:t>
            </w:r>
          </w:p>
        </w:tc>
      </w:tr>
    </w:tbl>
    <w:p>
      <w:pPr>
        <w:rPr>
          <w:rFonts w:hint="eastAsia"/>
          <w:sz w:val="24"/>
          <w:szCs w:val="24"/>
        </w:rPr>
      </w:pPr>
    </w:p>
    <w:p>
      <w:pPr>
        <w:rPr>
          <w:rFonts w:hint="eastAsia"/>
          <w:sz w:val="24"/>
          <w:szCs w:val="24"/>
        </w:rPr>
      </w:pPr>
    </w:p>
    <w:p>
      <w:pPr>
        <w:rPr>
          <w:sz w:val="24"/>
          <w:szCs w:val="24"/>
        </w:rPr>
      </w:pPr>
      <w:r>
        <w:rPr>
          <w:rFonts w:hint="eastAsia"/>
          <w:sz w:val="24"/>
          <w:szCs w:val="24"/>
        </w:rPr>
        <w:t>备注：</w:t>
      </w:r>
    </w:p>
    <w:p>
      <w:pPr>
        <w:ind w:firstLine="480" w:firstLineChars="200"/>
        <w:rPr>
          <w:sz w:val="24"/>
          <w:szCs w:val="24"/>
        </w:rPr>
      </w:pPr>
      <w:r>
        <w:rPr>
          <w:rFonts w:hint="eastAsia"/>
          <w:sz w:val="24"/>
          <w:szCs w:val="24"/>
        </w:rPr>
        <w:t>A：新能源汽车检测与维修教师技能提升培训内容</w:t>
      </w:r>
    </w:p>
    <w:p>
      <w:pPr>
        <w:ind w:firstLine="480" w:firstLineChars="200"/>
        <w:rPr>
          <w:sz w:val="24"/>
          <w:szCs w:val="24"/>
        </w:rPr>
      </w:pPr>
      <w:r>
        <w:rPr>
          <w:rFonts w:hint="eastAsia"/>
          <w:sz w:val="24"/>
          <w:szCs w:val="24"/>
        </w:rPr>
        <w:t>B：重庆市中高职教师教学专业技能提升培训内容</w:t>
      </w:r>
    </w:p>
    <w:p>
      <w:pPr>
        <w:rPr>
          <w:sz w:val="24"/>
          <w:szCs w:val="24"/>
          <w:lang w:val="en-US"/>
        </w:rPr>
      </w:pPr>
      <w:r>
        <w:rPr>
          <w:rFonts w:hint="eastAsia"/>
          <w:sz w:val="24"/>
          <w:szCs w:val="24"/>
          <w:lang w:val="en-US"/>
        </w:rPr>
        <w:t xml:space="preserve">    请于2022年7月15日17:00前将回执表发至电子邮件：814608512@qq.com</w:t>
      </w:r>
    </w:p>
    <w:p>
      <w:pPr>
        <w:ind w:firstLine="480" w:firstLineChars="200"/>
        <w:rPr>
          <w:rFonts w:hint="eastAsia"/>
          <w:sz w:val="24"/>
          <w:szCs w:val="24"/>
        </w:rPr>
      </w:pPr>
      <w:r>
        <w:rPr>
          <w:rFonts w:hint="eastAsia"/>
          <w:sz w:val="24"/>
          <w:szCs w:val="24"/>
        </w:rPr>
        <w:t>联系人：王老师</w:t>
      </w:r>
      <w:r>
        <w:rPr>
          <w:rFonts w:hint="eastAsia"/>
          <w:sz w:val="24"/>
          <w:szCs w:val="24"/>
        </w:rPr>
        <w:tab/>
      </w:r>
      <w:r>
        <w:rPr>
          <w:rFonts w:hint="eastAsia"/>
          <w:sz w:val="24"/>
          <w:szCs w:val="24"/>
          <w:lang w:val="en-US"/>
        </w:rPr>
        <w:t xml:space="preserve">   </w:t>
      </w:r>
      <w:r>
        <w:rPr>
          <w:rFonts w:hint="eastAsia"/>
          <w:sz w:val="24"/>
          <w:szCs w:val="24"/>
        </w:rPr>
        <w:t>联系电话：1</w:t>
      </w:r>
      <w:r>
        <w:rPr>
          <w:rFonts w:hint="eastAsia"/>
          <w:sz w:val="24"/>
          <w:szCs w:val="24"/>
          <w:lang w:val="en-US"/>
        </w:rPr>
        <w:t>3167826512</w:t>
      </w:r>
      <w:r>
        <w:rPr>
          <w:rFonts w:hint="eastAsia"/>
          <w:sz w:val="24"/>
          <w:szCs w:val="24"/>
        </w:rPr>
        <w:t>（微信同号）</w:t>
      </w: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pStyle w:val="5"/>
        <w:keepNext w:val="0"/>
        <w:keepLines w:val="0"/>
        <w:pageBreakBefore w:val="0"/>
        <w:kinsoku/>
        <w:wordWrap/>
        <w:overflowPunct/>
        <w:topLinePunct w:val="0"/>
        <w:autoSpaceDE/>
        <w:autoSpaceDN/>
        <w:bidi w:val="0"/>
        <w:adjustRightInd/>
        <w:snapToGrid/>
        <w:spacing w:beforeAutospacing="0" w:afterAutospacing="0" w:line="600" w:lineRule="exact"/>
        <w:rPr>
          <w:rFonts w:ascii="Times New Roman"/>
          <w:sz w:val="20"/>
        </w:rPr>
      </w:pPr>
    </w:p>
    <w:p>
      <w:pPr>
        <w:keepNext w:val="0"/>
        <w:keepLines w:val="0"/>
        <w:pageBreakBefore w:val="0"/>
        <w:tabs>
          <w:tab w:val="left" w:pos="8690"/>
        </w:tabs>
        <w:kinsoku/>
        <w:wordWrap/>
        <w:overflowPunct/>
        <w:topLinePunct w:val="0"/>
        <w:autoSpaceDE/>
        <w:autoSpaceDN/>
        <w:bidi w:val="0"/>
        <w:adjustRightInd/>
        <w:snapToGrid/>
        <w:spacing w:beforeAutospacing="0" w:afterAutospacing="0" w:line="600" w:lineRule="exact"/>
        <w:ind w:firstLine="320" w:firstLineChars="100"/>
        <w:jc w:val="left"/>
        <w:rPr>
          <w:sz w:val="28"/>
          <w:szCs w:val="28"/>
        </w:rPr>
      </w:pPr>
      <w:r>
        <w:rPr>
          <w:rFonts w:ascii="方正仿宋_GBK" w:hAnsi="方正仿宋_GBK" w:eastAsia="方正仿宋_GBK" w:cs="方正仿宋_GBK"/>
          <w:sz w:val="32"/>
          <w:szCs w:val="32"/>
        </w:rPr>
        <w:pict>
          <v:line id="直接连接符 5" o:spid="_x0000_s1032" o:spt="20" style="position:absolute;left:0pt;margin-left:7.05pt;margin-top:2.25pt;height:0pt;width:439.35pt;z-index:251664384;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skujm0wAAAAYBAAAPAAAAAAAAAAEAIAAAACIAAABkcnMvZG93bnJldi54bWxQSwEC&#10;FAAUAAAACACHTuJAAg7udfkBAADyAwAADgAAAAAAAAABACAAAAAiAQAAZHJzL2Uyb0RvYy54bWxQ&#10;SwUGAAAAAAYABgBZAQAAjQUAAAAA&#10;">
            <v:path arrowok="t"/>
            <v:fill on="f" focussize="0,0"/>
            <v:stroke color="#000000" joinstyle="round"/>
            <v:imagedata o:title=""/>
            <o:lock v:ext="edit" aspectratio="f"/>
          </v:line>
        </w:pict>
      </w:r>
      <w:r>
        <w:rPr>
          <w:rFonts w:ascii="方正仿宋_GBK" w:hAnsi="方正仿宋_GBK" w:eastAsia="方正仿宋_GBK" w:cs="方正仿宋_GBK"/>
          <w:sz w:val="32"/>
          <w:szCs w:val="32"/>
        </w:rPr>
        <w:pict>
          <v:line id="直接连接符 4" o:spid="_x0000_s1033" o:spt="20" style="position:absolute;left:0pt;margin-left:6.4pt;margin-top:31.2pt;height:0pt;width:439.35pt;z-index:251665408;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XSIFy1QAAAAgBAAAPAAAAAAAAAAEAIAAAACIAAABkcnMvZG93bnJldi54bWxQ&#10;SwECFAAUAAAACACHTuJArTp91/oBAADyAwAADgAAAAAAAAABACAAAAAkAQAAZHJzL2Uyb0RvYy54&#10;bWxQSwUGAAAAAAYABgBZAQAAkAUAAAAA&#10;">
            <v:path arrowok="t"/>
            <v:fill on="f" focussize="0,0"/>
            <v:stroke color="#000000" joinstyle="round"/>
            <v:imagedata o:title=""/>
            <o:lock v:ext="edit" aspectratio="f"/>
          </v:line>
        </w:pict>
      </w:r>
      <w:r>
        <w:rPr>
          <w:rFonts w:hint="eastAsia" w:ascii="方正仿宋_GBK" w:hAnsi="方正仿宋_GBK" w:eastAsia="方正仿宋_GBK" w:cs="方正仿宋_GBK"/>
          <w:sz w:val="32"/>
          <w:szCs w:val="32"/>
        </w:rPr>
        <w:t xml:space="preserve">重庆市职业教育学会秘书处 </w:t>
      </w:r>
      <w:r>
        <w:rPr>
          <w:rFonts w:hint="eastAsia" w:cs="方正仿宋_GBK"/>
          <w:sz w:val="32"/>
          <w:szCs w:val="32"/>
        </w:rPr>
        <w:t xml:space="preserve">      </w:t>
      </w:r>
      <w:r>
        <w:rPr>
          <w:rFonts w:hint="eastAsia" w:ascii="方正仿宋_GBK" w:hAnsi="方正仿宋_GBK" w:eastAsia="方正仿宋_GBK" w:cs="方正仿宋_GBK"/>
          <w:sz w:val="32"/>
          <w:szCs w:val="32"/>
        </w:rPr>
        <w:t xml:space="preserve">   202</w:t>
      </w: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7</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日印发</w:t>
      </w:r>
      <w:bookmarkStart w:id="2" w:name="七、其它事项"/>
      <w:bookmarkEnd w:id="2"/>
    </w:p>
    <w:sectPr>
      <w:footerReference r:id="rId3" w:type="default"/>
      <w:pgSz w:w="11906" w:h="16838"/>
      <w:pgMar w:top="2183" w:right="1446" w:bottom="1446"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979807F-A6EB-47D8-A670-C6CCE8D93844}"/>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auto"/>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3A139891-A1DF-4467-8EBC-0D4DC37EFABC}"/>
  </w:font>
  <w:font w:name="方正仿宋_GBK">
    <w:panose1 w:val="03000509000000000000"/>
    <w:charset w:val="86"/>
    <w:family w:val="auto"/>
    <w:pitch w:val="default"/>
    <w:sig w:usb0="00000001" w:usb1="080E0000" w:usb2="00000000" w:usb3="00000000" w:csb0="00040000" w:csb1="00000000"/>
    <w:embedRegular r:id="rId3" w:fontKey="{4C771C45-4110-4DB0-B7BC-CE7B6211A43D}"/>
  </w:font>
  <w:font w:name="方正黑体_GBK">
    <w:panose1 w:val="03000509000000000000"/>
    <w:charset w:val="86"/>
    <w:family w:val="auto"/>
    <w:pitch w:val="default"/>
    <w:sig w:usb0="00000001" w:usb1="080E0000" w:usb2="00000000" w:usb3="00000000" w:csb0="00040000" w:csb1="00000000"/>
    <w:embedRegular r:id="rId4" w:fontKey="{3B26A826-8399-47EA-9653-4BAC72DDCB5B}"/>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0"/>
      <w:numFmt w:val="bullet"/>
      <w:lvlText w:val=""/>
      <w:lvlJc w:val="left"/>
      <w:pPr>
        <w:ind w:left="359" w:hanging="188"/>
      </w:pPr>
      <w:rPr>
        <w:rFonts w:hint="default" w:ascii="Wingdings" w:hAnsi="Wingdings" w:eastAsia="Wingdings" w:cs="Wingdings"/>
        <w:spacing w:val="-2"/>
        <w:w w:val="99"/>
        <w:sz w:val="19"/>
        <w:szCs w:val="19"/>
        <w:lang w:val="zh-CN" w:eastAsia="zh-CN" w:bidi="zh-CN"/>
      </w:rPr>
    </w:lvl>
    <w:lvl w:ilvl="1" w:tentative="0">
      <w:start w:val="0"/>
      <w:numFmt w:val="bullet"/>
      <w:lvlText w:val="•"/>
      <w:lvlJc w:val="left"/>
      <w:pPr>
        <w:ind w:left="477" w:hanging="188"/>
      </w:pPr>
      <w:rPr>
        <w:rFonts w:hint="default"/>
        <w:lang w:val="zh-CN" w:eastAsia="zh-CN" w:bidi="zh-CN"/>
      </w:rPr>
    </w:lvl>
    <w:lvl w:ilvl="2" w:tentative="0">
      <w:start w:val="0"/>
      <w:numFmt w:val="bullet"/>
      <w:lvlText w:val="•"/>
      <w:lvlJc w:val="left"/>
      <w:pPr>
        <w:ind w:left="595" w:hanging="188"/>
      </w:pPr>
      <w:rPr>
        <w:rFonts w:hint="default"/>
        <w:lang w:val="zh-CN" w:eastAsia="zh-CN" w:bidi="zh-CN"/>
      </w:rPr>
    </w:lvl>
    <w:lvl w:ilvl="3" w:tentative="0">
      <w:start w:val="0"/>
      <w:numFmt w:val="bullet"/>
      <w:lvlText w:val="•"/>
      <w:lvlJc w:val="left"/>
      <w:pPr>
        <w:ind w:left="713" w:hanging="188"/>
      </w:pPr>
      <w:rPr>
        <w:rFonts w:hint="default"/>
        <w:lang w:val="zh-CN" w:eastAsia="zh-CN" w:bidi="zh-CN"/>
      </w:rPr>
    </w:lvl>
    <w:lvl w:ilvl="4" w:tentative="0">
      <w:start w:val="0"/>
      <w:numFmt w:val="bullet"/>
      <w:lvlText w:val="•"/>
      <w:lvlJc w:val="left"/>
      <w:pPr>
        <w:ind w:left="831" w:hanging="188"/>
      </w:pPr>
      <w:rPr>
        <w:rFonts w:hint="default"/>
        <w:lang w:val="zh-CN" w:eastAsia="zh-CN" w:bidi="zh-CN"/>
      </w:rPr>
    </w:lvl>
    <w:lvl w:ilvl="5" w:tentative="0">
      <w:start w:val="0"/>
      <w:numFmt w:val="bullet"/>
      <w:lvlText w:val="•"/>
      <w:lvlJc w:val="left"/>
      <w:pPr>
        <w:ind w:left="949" w:hanging="188"/>
      </w:pPr>
      <w:rPr>
        <w:rFonts w:hint="default"/>
        <w:lang w:val="zh-CN" w:eastAsia="zh-CN" w:bidi="zh-CN"/>
      </w:rPr>
    </w:lvl>
    <w:lvl w:ilvl="6" w:tentative="0">
      <w:start w:val="0"/>
      <w:numFmt w:val="bullet"/>
      <w:lvlText w:val="•"/>
      <w:lvlJc w:val="left"/>
      <w:pPr>
        <w:ind w:left="1067" w:hanging="188"/>
      </w:pPr>
      <w:rPr>
        <w:rFonts w:hint="default"/>
        <w:lang w:val="zh-CN" w:eastAsia="zh-CN" w:bidi="zh-CN"/>
      </w:rPr>
    </w:lvl>
    <w:lvl w:ilvl="7" w:tentative="0">
      <w:start w:val="0"/>
      <w:numFmt w:val="bullet"/>
      <w:lvlText w:val="•"/>
      <w:lvlJc w:val="left"/>
      <w:pPr>
        <w:ind w:left="1185" w:hanging="188"/>
      </w:pPr>
      <w:rPr>
        <w:rFonts w:hint="default"/>
        <w:lang w:val="zh-CN" w:eastAsia="zh-CN" w:bidi="zh-CN"/>
      </w:rPr>
    </w:lvl>
    <w:lvl w:ilvl="8" w:tentative="0">
      <w:start w:val="0"/>
      <w:numFmt w:val="bullet"/>
      <w:lvlText w:val="•"/>
      <w:lvlJc w:val="left"/>
      <w:pPr>
        <w:ind w:left="1303" w:hanging="188"/>
      </w:pPr>
      <w:rPr>
        <w:rFonts w:hint="default"/>
        <w:lang w:val="zh-CN" w:eastAsia="zh-CN" w:bidi="zh-CN"/>
      </w:rPr>
    </w:lvl>
  </w:abstractNum>
  <w:abstractNum w:abstractNumId="1">
    <w:nsid w:val="2A8F537B"/>
    <w:multiLevelType w:val="multilevel"/>
    <w:tmpl w:val="2A8F537B"/>
    <w:lvl w:ilvl="0" w:tentative="0">
      <w:start w:val="0"/>
      <w:numFmt w:val="bullet"/>
      <w:lvlText w:val=""/>
      <w:lvlJc w:val="left"/>
      <w:pPr>
        <w:ind w:left="294" w:hanging="188"/>
      </w:pPr>
      <w:rPr>
        <w:rFonts w:hint="default" w:ascii="Wingdings" w:hAnsi="Wingdings" w:eastAsia="Wingdings" w:cs="Wingdings"/>
        <w:w w:val="99"/>
        <w:sz w:val="19"/>
        <w:szCs w:val="19"/>
        <w:lang w:val="zh-CN" w:eastAsia="zh-CN" w:bidi="zh-CN"/>
      </w:rPr>
    </w:lvl>
    <w:lvl w:ilvl="1" w:tentative="0">
      <w:start w:val="0"/>
      <w:numFmt w:val="bullet"/>
      <w:lvlText w:val="•"/>
      <w:lvlJc w:val="left"/>
      <w:pPr>
        <w:ind w:left="1132" w:hanging="188"/>
      </w:pPr>
      <w:rPr>
        <w:rFonts w:hint="default"/>
        <w:lang w:val="zh-CN" w:eastAsia="zh-CN" w:bidi="zh-CN"/>
      </w:rPr>
    </w:lvl>
    <w:lvl w:ilvl="2" w:tentative="0">
      <w:start w:val="0"/>
      <w:numFmt w:val="bullet"/>
      <w:lvlText w:val="•"/>
      <w:lvlJc w:val="left"/>
      <w:pPr>
        <w:ind w:left="1964" w:hanging="188"/>
      </w:pPr>
      <w:rPr>
        <w:rFonts w:hint="default"/>
        <w:lang w:val="zh-CN" w:eastAsia="zh-CN" w:bidi="zh-CN"/>
      </w:rPr>
    </w:lvl>
    <w:lvl w:ilvl="3" w:tentative="0">
      <w:start w:val="0"/>
      <w:numFmt w:val="bullet"/>
      <w:lvlText w:val="•"/>
      <w:lvlJc w:val="left"/>
      <w:pPr>
        <w:ind w:left="2796" w:hanging="188"/>
      </w:pPr>
      <w:rPr>
        <w:rFonts w:hint="default"/>
        <w:lang w:val="zh-CN" w:eastAsia="zh-CN" w:bidi="zh-CN"/>
      </w:rPr>
    </w:lvl>
    <w:lvl w:ilvl="4" w:tentative="0">
      <w:start w:val="0"/>
      <w:numFmt w:val="bullet"/>
      <w:lvlText w:val="•"/>
      <w:lvlJc w:val="left"/>
      <w:pPr>
        <w:ind w:left="3628" w:hanging="188"/>
      </w:pPr>
      <w:rPr>
        <w:rFonts w:hint="default"/>
        <w:lang w:val="zh-CN" w:eastAsia="zh-CN" w:bidi="zh-CN"/>
      </w:rPr>
    </w:lvl>
    <w:lvl w:ilvl="5" w:tentative="0">
      <w:start w:val="0"/>
      <w:numFmt w:val="bullet"/>
      <w:lvlText w:val="•"/>
      <w:lvlJc w:val="left"/>
      <w:pPr>
        <w:ind w:left="4460" w:hanging="188"/>
      </w:pPr>
      <w:rPr>
        <w:rFonts w:hint="default"/>
        <w:lang w:val="zh-CN" w:eastAsia="zh-CN" w:bidi="zh-CN"/>
      </w:rPr>
    </w:lvl>
    <w:lvl w:ilvl="6" w:tentative="0">
      <w:start w:val="0"/>
      <w:numFmt w:val="bullet"/>
      <w:lvlText w:val="•"/>
      <w:lvlJc w:val="left"/>
      <w:pPr>
        <w:ind w:left="5292" w:hanging="188"/>
      </w:pPr>
      <w:rPr>
        <w:rFonts w:hint="default"/>
        <w:lang w:val="zh-CN" w:eastAsia="zh-CN" w:bidi="zh-CN"/>
      </w:rPr>
    </w:lvl>
    <w:lvl w:ilvl="7" w:tentative="0">
      <w:start w:val="0"/>
      <w:numFmt w:val="bullet"/>
      <w:lvlText w:val="•"/>
      <w:lvlJc w:val="left"/>
      <w:pPr>
        <w:ind w:left="6124" w:hanging="188"/>
      </w:pPr>
      <w:rPr>
        <w:rFonts w:hint="default"/>
        <w:lang w:val="zh-CN" w:eastAsia="zh-CN" w:bidi="zh-CN"/>
      </w:rPr>
    </w:lvl>
    <w:lvl w:ilvl="8" w:tentative="0">
      <w:start w:val="0"/>
      <w:numFmt w:val="bullet"/>
      <w:lvlText w:val="•"/>
      <w:lvlJc w:val="left"/>
      <w:pPr>
        <w:ind w:left="6956" w:hanging="188"/>
      </w:pPr>
      <w:rPr>
        <w:rFonts w:hint="default"/>
        <w:lang w:val="zh-CN" w:eastAsia="zh-CN" w:bidi="zh-CN"/>
      </w:rPr>
    </w:lvl>
  </w:abstractNum>
  <w:abstractNum w:abstractNumId="2">
    <w:nsid w:val="72183CF9"/>
    <w:multiLevelType w:val="multilevel"/>
    <w:tmpl w:val="72183CF9"/>
    <w:lvl w:ilvl="0" w:tentative="0">
      <w:start w:val="0"/>
      <w:numFmt w:val="bullet"/>
      <w:lvlText w:val=""/>
      <w:lvlJc w:val="left"/>
      <w:pPr>
        <w:ind w:left="359" w:hanging="188"/>
      </w:pPr>
      <w:rPr>
        <w:rFonts w:hint="default" w:ascii="Wingdings" w:hAnsi="Wingdings" w:eastAsia="Wingdings" w:cs="Wingdings"/>
        <w:spacing w:val="-2"/>
        <w:w w:val="99"/>
        <w:sz w:val="19"/>
        <w:szCs w:val="19"/>
        <w:lang w:val="zh-CN" w:eastAsia="zh-CN" w:bidi="zh-CN"/>
      </w:rPr>
    </w:lvl>
    <w:lvl w:ilvl="1" w:tentative="0">
      <w:start w:val="0"/>
      <w:numFmt w:val="bullet"/>
      <w:lvlText w:val="•"/>
      <w:lvlJc w:val="left"/>
      <w:pPr>
        <w:ind w:left="477" w:hanging="188"/>
      </w:pPr>
      <w:rPr>
        <w:rFonts w:hint="default"/>
        <w:lang w:val="zh-CN" w:eastAsia="zh-CN" w:bidi="zh-CN"/>
      </w:rPr>
    </w:lvl>
    <w:lvl w:ilvl="2" w:tentative="0">
      <w:start w:val="0"/>
      <w:numFmt w:val="bullet"/>
      <w:lvlText w:val="•"/>
      <w:lvlJc w:val="left"/>
      <w:pPr>
        <w:ind w:left="595" w:hanging="188"/>
      </w:pPr>
      <w:rPr>
        <w:rFonts w:hint="default"/>
        <w:lang w:val="zh-CN" w:eastAsia="zh-CN" w:bidi="zh-CN"/>
      </w:rPr>
    </w:lvl>
    <w:lvl w:ilvl="3" w:tentative="0">
      <w:start w:val="0"/>
      <w:numFmt w:val="bullet"/>
      <w:lvlText w:val="•"/>
      <w:lvlJc w:val="left"/>
      <w:pPr>
        <w:ind w:left="713" w:hanging="188"/>
      </w:pPr>
      <w:rPr>
        <w:rFonts w:hint="default"/>
        <w:lang w:val="zh-CN" w:eastAsia="zh-CN" w:bidi="zh-CN"/>
      </w:rPr>
    </w:lvl>
    <w:lvl w:ilvl="4" w:tentative="0">
      <w:start w:val="0"/>
      <w:numFmt w:val="bullet"/>
      <w:lvlText w:val="•"/>
      <w:lvlJc w:val="left"/>
      <w:pPr>
        <w:ind w:left="831" w:hanging="188"/>
      </w:pPr>
      <w:rPr>
        <w:rFonts w:hint="default"/>
        <w:lang w:val="zh-CN" w:eastAsia="zh-CN" w:bidi="zh-CN"/>
      </w:rPr>
    </w:lvl>
    <w:lvl w:ilvl="5" w:tentative="0">
      <w:start w:val="0"/>
      <w:numFmt w:val="bullet"/>
      <w:lvlText w:val="•"/>
      <w:lvlJc w:val="left"/>
      <w:pPr>
        <w:ind w:left="949" w:hanging="188"/>
      </w:pPr>
      <w:rPr>
        <w:rFonts w:hint="default"/>
        <w:lang w:val="zh-CN" w:eastAsia="zh-CN" w:bidi="zh-CN"/>
      </w:rPr>
    </w:lvl>
    <w:lvl w:ilvl="6" w:tentative="0">
      <w:start w:val="0"/>
      <w:numFmt w:val="bullet"/>
      <w:lvlText w:val="•"/>
      <w:lvlJc w:val="left"/>
      <w:pPr>
        <w:ind w:left="1067" w:hanging="188"/>
      </w:pPr>
      <w:rPr>
        <w:rFonts w:hint="default"/>
        <w:lang w:val="zh-CN" w:eastAsia="zh-CN" w:bidi="zh-CN"/>
      </w:rPr>
    </w:lvl>
    <w:lvl w:ilvl="7" w:tentative="0">
      <w:start w:val="0"/>
      <w:numFmt w:val="bullet"/>
      <w:lvlText w:val="•"/>
      <w:lvlJc w:val="left"/>
      <w:pPr>
        <w:ind w:left="1185" w:hanging="188"/>
      </w:pPr>
      <w:rPr>
        <w:rFonts w:hint="default"/>
        <w:lang w:val="zh-CN" w:eastAsia="zh-CN" w:bidi="zh-CN"/>
      </w:rPr>
    </w:lvl>
    <w:lvl w:ilvl="8" w:tentative="0">
      <w:start w:val="0"/>
      <w:numFmt w:val="bullet"/>
      <w:lvlText w:val="•"/>
      <w:lvlJc w:val="left"/>
      <w:pPr>
        <w:ind w:left="1303" w:hanging="188"/>
      </w:pPr>
      <w:rPr>
        <w:rFonts w:hint="default"/>
        <w:lang w:val="zh-CN" w:eastAsia="zh-CN" w:bidi="zh-C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M5MjJlY2ZhNzIwOGE0YzI2NmUzMDFiODM4MjZmZDYifQ=="/>
  </w:docVars>
  <w:rsids>
    <w:rsidRoot w:val="67611B48"/>
    <w:rsid w:val="00001F69"/>
    <w:rsid w:val="001A0F9C"/>
    <w:rsid w:val="001B223C"/>
    <w:rsid w:val="00345EE9"/>
    <w:rsid w:val="00596007"/>
    <w:rsid w:val="00753F6B"/>
    <w:rsid w:val="00AF45D3"/>
    <w:rsid w:val="00D35FDE"/>
    <w:rsid w:val="01B96A05"/>
    <w:rsid w:val="06295C09"/>
    <w:rsid w:val="0BEA58CE"/>
    <w:rsid w:val="0F7F23F3"/>
    <w:rsid w:val="14C50404"/>
    <w:rsid w:val="2BA86E79"/>
    <w:rsid w:val="2CEA52EC"/>
    <w:rsid w:val="30FF0C3A"/>
    <w:rsid w:val="38A92C03"/>
    <w:rsid w:val="3E7A0E7E"/>
    <w:rsid w:val="427C4429"/>
    <w:rsid w:val="44817E8C"/>
    <w:rsid w:val="44D63D08"/>
    <w:rsid w:val="467B090B"/>
    <w:rsid w:val="48F055E1"/>
    <w:rsid w:val="4A214940"/>
    <w:rsid w:val="4C3429C1"/>
    <w:rsid w:val="4CAC5CC3"/>
    <w:rsid w:val="4D6055D3"/>
    <w:rsid w:val="4FCA48E3"/>
    <w:rsid w:val="578B2F02"/>
    <w:rsid w:val="59D10B16"/>
    <w:rsid w:val="61CC08E4"/>
    <w:rsid w:val="62F03308"/>
    <w:rsid w:val="67270E51"/>
    <w:rsid w:val="67611B48"/>
    <w:rsid w:val="6EAD3A68"/>
    <w:rsid w:val="6F5222A2"/>
    <w:rsid w:val="73BB4630"/>
    <w:rsid w:val="74271DA9"/>
    <w:rsid w:val="75151DA7"/>
    <w:rsid w:val="760B7C35"/>
    <w:rsid w:val="76D813D5"/>
    <w:rsid w:val="7E79430E"/>
    <w:rsid w:val="7F5200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仿宋" w:hAnsi="仿宋" w:eastAsia="仿宋" w:cs="仿宋"/>
      <w:sz w:val="22"/>
      <w:szCs w:val="22"/>
      <w:lang w:val="zh-CN" w:eastAsia="zh-CN" w:bidi="zh-CN"/>
    </w:rPr>
  </w:style>
  <w:style w:type="paragraph" w:styleId="4">
    <w:name w:val="heading 1"/>
    <w:basedOn w:val="1"/>
    <w:next w:val="1"/>
    <w:qFormat/>
    <w:uiPriority w:val="1"/>
    <w:pPr>
      <w:ind w:left="624"/>
      <w:outlineLvl w:val="0"/>
    </w:pPr>
    <w:rPr>
      <w:b/>
      <w:bCs/>
      <w:sz w:val="44"/>
      <w:szCs w:val="44"/>
    </w:rPr>
  </w:style>
  <w:style w:type="paragraph" w:styleId="3">
    <w:name w:val="heading 2"/>
    <w:basedOn w:val="1"/>
    <w:next w:val="1"/>
    <w:qFormat/>
    <w:uiPriority w:val="0"/>
    <w:pPr>
      <w:keepNext/>
      <w:keepLines/>
      <w:spacing w:before="260" w:after="260" w:line="416" w:lineRule="auto"/>
      <w:outlineLvl w:val="1"/>
    </w:pPr>
    <w:rPr>
      <w:rFonts w:ascii="Calibri Light" w:hAnsi="Calibri Light" w:eastAsia="宋体" w:cs="Times New Roman"/>
      <w:b/>
      <w:bCs/>
      <w:szCs w:val="32"/>
    </w:rPr>
  </w:style>
  <w:style w:type="paragraph" w:styleId="2">
    <w:name w:val="heading 4"/>
    <w:basedOn w:val="3"/>
    <w:next w:val="1"/>
    <w:qFormat/>
    <w:uiPriority w:val="0"/>
    <w:pPr>
      <w:spacing w:before="280" w:after="290" w:line="376" w:lineRule="auto"/>
      <w:outlineLvl w:val="3"/>
    </w:pPr>
    <w:rPr>
      <w:rFonts w:ascii="Cambria" w:hAnsi="Cambria" w:eastAsia="宋体" w:cs="Times New Roman"/>
      <w:sz w:val="28"/>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11"/>
    <w:qFormat/>
    <w:uiPriority w:val="0"/>
    <w:rPr>
      <w:rFonts w:cs="Times New Roman"/>
      <w:b/>
      <w:bCs/>
    </w:rPr>
  </w:style>
  <w:style w:type="character" w:customStyle="1" w:styleId="11">
    <w:name w:val="NormalCharacter"/>
    <w:qFormat/>
    <w:uiPriority w:val="0"/>
    <w:rPr>
      <w:rFonts w:ascii="Times New Roman" w:hAnsi="Times New Roman" w:eastAsia="宋体"/>
    </w:rPr>
  </w:style>
  <w:style w:type="paragraph" w:customStyle="1" w:styleId="12">
    <w:name w:val="Table Paragraph"/>
    <w:basedOn w:val="1"/>
    <w:qFormat/>
    <w:uiPriority w:val="1"/>
  </w:style>
  <w:style w:type="paragraph" w:customStyle="1" w:styleId="13">
    <w:name w:val="HtmlNormal"/>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9"/>
    <customShpInfo spid="_x0000_s1030"/>
    <customShpInfo spid="_x0000_s1031"/>
    <customShpInfo spid="_x0000_s1027"/>
    <customShpInfo spid="_x0000_s1028"/>
    <customShpInfo spid="_x0000_s1026"/>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2567</Words>
  <Characters>2786</Characters>
  <Lines>22</Lines>
  <Paragraphs>6</Paragraphs>
  <TotalTime>2</TotalTime>
  <ScaleCrop>false</ScaleCrop>
  <LinksUpToDate>false</LinksUpToDate>
  <CharactersWithSpaces>2889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2022-06-24T04:15:00Z</dcterms:created>
  <dc:creator>张武</dc:creator>
  <cp:lastModifiedBy>Administrator</cp:lastModifiedBy>
  <cp:lastPrinted>2022-06-30T05:25:00Z</cp:lastPrinted>
  <dcterms:modified xsi:type="dcterms:W3CDTF">2022-07-08T02:58:07Z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94B09F59FDDC4EFC81E64FFC662F9EFF</vt:lpwstr>
  </property>
</Properties>
</file>